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按样本估计的可靠性权重对多个随机森林专家做条件加权融合（RCCF），能否稳定优于等权投票。在统一的泄漏受控协议下，我们用 CIC-IDS2017 构造 53 237 条自然先验总体与 3 365 条平衡控制总体，并以 NSL-KDD 与 UNSW-NB15 作为独立原生标签基准，在十个种子上比较四种特征视图。自然先验协议上，二者 Macro-F1 平均差为 −0.000456，逐种子方向五正五负；种子级 90% 区间 [−0.00112, +0.00021] 与测试行级配对 Bootstrap 区间 [−0.00425, +0.00338] 均落在 0.005 与 0.01 的等价边界内。四个专家在测试集上无任何预测分歧，权重归一化熵为 0.99998；类别先验与去重顺序分别带来 +0.0725 与至多 +0.0060 的变化。我们给出三个可辨识性条件，并把其中之一化为可逐行计算的判据：23 958 条测试样本中 99.91% 可证明不受权重影响，决策边距中位数为扰动上界的 3469 至 5038 倍。108 种门控配置只产生 6 个不同的验证集取值，排除了调参不足；增益受专家多样性支配（斜率 0.0646，r = 0.749）。该机制体积是单个等权森林的 4.1 倍、吞吐低 4.6 倍，在 1:1 至 100:1 的代价比下没有代价敏感优势。本文的贡献在于一套可复用的泄漏受控协议、一组可辨识性边界，以及一张把协议效应与聚合规则差异分开量化的地图；证据不支持算法优越性或生产可用性的主张。</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一张把协议效应与聚合规则差异分离的定量地图</w:t>
      </w:r>
      <w:r>
        <w:t>。我们在同一批数据上测量五类差异来源并给出量级：聚合规则（0.0005）、特征视图（+0.0021）、去重顺序（至多 +0.0060）、调参预算（+0.0078）与类别先验（+0.0725）；文件外推跨度为 0.33–1.00。结论是协议效应比聚合规则差异高出一个数量级。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为把"类别不平衡造成的困难"与"聚合规则的差异"分开，另取每类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r>
        <w:t>逐原始文件处理计数、类别支持数与四种特征视图的训练侧特征得分见补充材料 S01–S04。</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融合权重与融合后验由式(1)给出：</w:t>
      </w:r>
    </w:p>
    <w:p>
      <w:pPr>
        <w:jc w:val="center"/>
      </w:pPr>
      <w:r>
        <w:rPr>
          <w:rFonts w:ascii="Cambria Math" w:hAnsi="Cambria Math"/>
          <w:sz w:val="22"/>
        </w:rPr>
        <w:t>w_e(x)=\frac{\exp[-r_e(x)]}{\sum_{j=1}^{Q}\exp[-r_j(x)]},\qquad p(y\mid x)=\sum_{e=1}^{Q} w_e(x)\,p_e(y\mid x).  (1)</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），融合后验的位移不超过式(2)的上界：</w:t>
      </w:r>
    </w:p>
    <w:p>
      <w:pPr>
        <w:jc w:val="center"/>
      </w:pPr>
      <w:r>
        <w:rPr>
          <w:rFonts w:ascii="Cambria Math" w:hAnsi="Cambria Math"/>
          <w:sz w:val="22"/>
        </w:rPr>
        <w:t>\left\|p_w-\bar p\right\|_1\ \le\ \sum_{e=1}^{Q}\left|w_e-\frac{1}{Q}\right|\ =:\ \Delta(x).  (2)</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  (3)</w:t>
      </w:r>
    </w:p>
    <w:p>
      <w:r>
        <w:t>以及对 softmax 做一阶展开得到的更简关系</w:t>
      </w:r>
    </w:p>
    <w:p>
      <w:pPr>
        <w:jc w:val="center"/>
      </w:pPr>
      <w:r>
        <w:rPr>
          <w:rFonts w:ascii="Cambria Math" w:hAnsi="Cambria Math"/>
          <w:sz w:val="22"/>
        </w:rPr>
        <w:t>1-H_{norm}(w)\ \approx\ \frac{\mathrm{Var}(\delta)}{2\log Q}.  (4)</w:t>
      </w:r>
    </w:p>
    <w:p>
      <w: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jc w:val="center"/>
      </w:pPr>
      <w:r>
        <w:rPr>
          <w:rFonts w:ascii="Cambria Math" w:hAnsi="Cambria Math"/>
          <w:sz w:val="22"/>
        </w:rPr>
        <w:t>H_{norm}(x)=-\frac{1}{\log Q}\sum_{e=1}^{Q} w_e(x)\log w_e(x).  (5)</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r>
        <w:t>逐行边距上界与命题 3 的定量验证见补充材料 S17 与 S25。</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19.68，十个种子全部支持）。它与第五条的神经基线一起，构成本研究仅有的两处实质性模型间差距，而且都来自模型族而非聚合规则。</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r>
        <w:t>逐种子指标、逐类别报告、归一化混淆矩阵与等价性检验见补充材料 S05–S07 与 S20。</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r>
        <w:t>门控搜索、逐行权重记录与专家多样性实验见补充材料 S08–S09、S16 与 S18。</w:t>
      </w:r>
    </w:p>
    <w:p>
      <w:pPr>
        <w:pStyle w:val="Heading2"/>
      </w:pPr>
      <w:r>
        <w:t>5.4 RQ3：协议效应比聚合规则差异大一个数量级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。这是本文观察到的最大单项协议效应，大于任何聚合规则差异与调参预算差异（最大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把五个量级并列：聚合规则 0.0005、特征视图 +0.0021、去重顺序 +0.0014（最大 0.0060）、类别先验 +0.0725、调参预算 +0.0078。</w:t>
      </w:r>
      <w:r>
        <w:rPr>
          <w:b/>
        </w:rPr>
        <w:t>H3 假设被证伪：协议不可交换，而且协议效应远大于聚合规则之间的差异。</w:t>
      </w:r>
      <w:r>
        <w:t xml:space="preserve"> 需要强调的是，这一排序针对的是聚合规则本身。模型族之间的差异更大：多层感知机比森林低 0.0916 Macro-F1，极端随机树低 0.0318，前者甚至超过类别先验的 0.0725。因此准确的表述是：聚合规则差异被协议选择压过，而模型族差异不会。</w:t>
      </w:r>
    </w:p>
    <w:p>
      <w:r>
        <w:t>协议敏感性实验与嵌套交叉验证逐折指标见补充材料 S10–S11。</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r>
        <w:t>外部数据集基准、文件级外推与神经基线对照见补充材料 S12–S14 与 S19。</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r>
        <w:t>校准、鲁棒性、延迟、资源、代价敏感与近重复结果见补充材料 S15 与 S21–S23、S26。</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0.011，大于本文观察到的全部聚合规则差异与调参预算差异（最大 0.0078），但小于模型族差距 0.0318 与 0.0916。</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任何关于聚合规则的增益主张，都应当在控制上述四项之后仍然成立，否则应当被表述为协议效应。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协议效应主导聚合规则差异。</w:t>
      </w:r>
      <w:r>
        <w:t xml:space="preserve"> 在同一批实验中，类别先验变化带来 +0.0725 的 Macro-F1 差异，去重顺序至多 +0.0060，而聚合规则仅 0.0005。文件级压力测试中，同一模型的 Macro-F1 跨度达 0.3325 至 0.9997。因此，在公开入侵检测数据集上，</w:t>
      </w:r>
      <w:r>
        <w:rPr>
          <w:b/>
        </w:rPr>
        <w:t>报告什么协议比报告什么聚合规则更能决定结论</w:t>
      </w:r>
      <w:r>
        <w:t>——不过模型族的选择可能比两者都更重要。</w:t>
      </w:r>
    </w:p>
    <w:p>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DOI，而不再留待核验。逐条核验记录见补充材料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