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intrusion-detection models are highly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and UNSW-NB15 as independent benchmarks, and compare four feature views over ten seeds. On the natural-prior protocol the two models differ by -0.000456 Macro-F1, with five seeds up and five down; the seed-level 90% interval [-0.00112, +0.00021] and the test-row paired bootstrap interval [-0.00425, +0.00338] both lie inside equivalence margins of 0.005 and 0.01. The four experts disagree on no test row and the learned weights have a normalised entropy of 0.99998, while class prior and deduplication order move Macro-F1 by +0.0725 and up to +0.0060. Three identifiability conditions are derived; one becomes a row-wise bound: 99.91% of the 23,958 test rows are provably invariant, with a median decision margin 3,469 to 5,038 times that bound. All 108 gate configurations yield six distinct validation scores, excluding insufficient tuning; the gain is governed by expert diversity (slope 0.0646, r = 0.749). The mechanism is 4.1 times larger and 4.6 times lower in throughput than one forest, with no cost-sensitive advantage from 1:1 to 100:1. We contribute a reusable leakage-controlled protocol, an identifiability boundary and a quantitative map separating protocol effects from aggregation-rule differences; the evidence supports neither superiority nor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in the literature,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r>
        <w:t>Per-file processing counts, class support and the training-side feature scores of all four views are provided in Supplementary S01-S04.</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and the fused posterior are given by Eq. (1):</w:t>
      </w:r>
    </w:p>
    <w:p>
      <w:pPr>
        <w:jc w:val="center"/>
      </w:pPr>
      <w:r>
        <w:rPr>
          <w:rFonts w:ascii="Cambria Math" w:hAnsi="Cambria Math"/>
          <w:sz w:val="22"/>
        </w:rPr>
        <w:t>w_e(x)=\frac{\exp[-r_e(x)]}{\sum_{j=1}^{Q}\exp[-r_j(x)]},\qquad p(y\mid x)=\sum_{e=1}^{Q} w_e(x)\,p_e(y\mid x).  (1)</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pPr>
        <w:jc w:val="center"/>
      </w:pPr>
      <w:r>
        <w:rPr>
          <w:rFonts w:ascii="Cambria Math" w:hAnsi="Cambria Math"/>
          <w:sz w:val="22"/>
        </w:rPr>
        <w:t>\left\|p_w-\bar p\right\|_1\ \le\ \sum_{e=1}^{Q}\left|w_e-\frac{1}{Q}\right|\ =:\ \Delta(x).  (2)</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  (3)</w:t>
      </w:r>
    </w:p>
    <w:p>
      <w:r>
        <w:t>and a first-order expansion of the softmax gives the simpler relation</w:t>
      </w:r>
    </w:p>
    <w:p>
      <w:pPr>
        <w:jc w:val="center"/>
      </w:pPr>
      <w:r>
        <w:rPr>
          <w:rFonts w:ascii="Cambria Math" w:hAnsi="Cambria Math"/>
          <w:sz w:val="22"/>
        </w:rPr>
        <w:t>1-H_{norm}(w)\ \approx\ \frac{\mathrm{Var}(\delta)}{2\log Q}.  (4)</w:t>
      </w:r>
    </w:p>
    <w:p>
      <w:r>
        <w:t>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observable is the normalised weight entropy, Eq. (5)</w:t>
      </w:r>
    </w:p>
    <w:p>
      <w:pPr>
        <w:jc w:val="center"/>
      </w:pPr>
      <w:r>
        <w:rPr>
          <w:rFonts w:ascii="Cambria Math" w:hAnsi="Cambria Math"/>
          <w:sz w:val="22"/>
        </w:rPr>
        <w:t>H_{norm}(x)=-\frac{1}{\log Q}\sum_{e=1}^{Q} w_e(x)\log w_e(x),  (5)</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r>
        <w:t>The row-wise margin bound and the quantification of Condition 3 are provided in Supplementary S17 and S25.</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r>
        <w:t>Per-seed metrics, per-class reports, normalised confusion matrices and the equivalence tests are provided in Supplementary S05-S07 and S20.</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r>
        <w:t>The gate search, the row-wise weight records and the expert-diversity suite are provided in Supplementary S08-S09, S16 and S18.</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r>
        <w:t>The protocol-sensitivity runs and the nested cross-validation fold metrics are provided in Supplementary S10-S11.</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r>
        <w:t>The external benchmarks, the file-level extrapolation and the neural baseline comparison are provided in Supplementary S12-S14 and S19.</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r>
        <w:t>Calibration, robustness, latency, resource, cost-sensitive and near-duplicate results are provided in Supplementary S15 and S21-S23, S26.</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That is larger than every aggregation-rule and tuning-budget difference observed here (at most 0.0078), though not larger than the model-family gaps of 0.0318 and 0.0916.</w:t>
      </w:r>
    </w:p>
    <w:p>
      <w:pPr>
        <w:pStyle w:val="ListNumber"/>
      </w:pPr>
      <w:r>
        <w:rPr>
          <w:b/>
        </w:rPr>
        <w:t>Protocol choice.</w:t>
      </w:r>
      <w:r>
        <w:t xml:space="preserve"> Changing the class prior from balanced to natural moves Macro-F1 by +0.0725,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rule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v1.10.0, tag v1.10.0).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pending.The individual checks are recorded in Supplementary S24.</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