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</w:t>
            </w:r>
          </w:p>
        </w:tc>
      </w:tr>
    </w:tbl>
    <w:p>
      <w:pPr>
        <w:spacing w:after="40"/>
      </w:pPr>
    </w:p>
    <w:p>
      <w:r>
        <w:t>结论（DOI 核验、资源画像、容器化、CI 与投稿材料之后）：</w:t>
      </w:r>
      <w:r>
        <w:rPr>
          <w:b/>
        </w:rPr>
        <w:t>51 项通过、7 项部分通过、1 项缺失</w:t>
      </w:r>
      <w:r>
        <w:t>。缺失项全部集中在「需外部输入或流程性工作」（母语润色、容器化、CI、图形摘要与投稿信、统计功效），不涉及数据或论证本身的正确性。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代码可用性声明属实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声明版本确实存在且含全部产物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main</w:t>
            </w:r>
            <w:r>
              <w:rPr>
                <w:sz w:val="16"/>
              </w:rPr>
              <w:t xml:space="preserve"> 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 xml:space="preserve"> 指向同一提交；两个 390 MB 归档包已加入 </w:t>
            </w:r>
            <w:r>
              <w:rPr>
                <w:rFonts w:ascii="Consolas" w:hAnsi="Consolas"/>
                <w:sz w:val="16"/>
              </w:rPr>
              <w:t>.gitignore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属"协议/边界"型贡献而非新算法。评审口味依赖期刊定位，</w:t>
            </w:r>
            <w:r>
              <w:rPr>
                <w:b/>
                <w:sz w:val="16"/>
              </w:rPr>
              <w:t>需与导师确认目标刊是否接受该定位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给出证明；命题 2 已显式化为可逐行计算的上界（99.91% 可证明不变）；</w:t>
            </w:r>
            <w:r>
              <w:rPr>
                <w:b/>
                <w:sz w:val="16"/>
              </w:rPr>
              <w:t>命题 3 仍为定义性陈述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个数据集，但 NSL-KDD/UNSW 为独立原生标签基准，</w:t>
            </w:r>
            <w:r>
              <w:rPr>
                <w:b/>
                <w:sz w:val="16"/>
              </w:rPr>
              <w:t>明确声明不构成跨数据集迁移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</w:t>
            </w:r>
            <w:r>
              <w:rPr>
                <w:b/>
                <w:sz w:val="16"/>
              </w:rPr>
              <w:t>缺对抗扰动、标签噪声、缺失值、漂移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英文稿为结构完整的草稿，未经母语编辑润色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篇幅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符合期刊惯例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词、11 图、7 主表；中文 31 868 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代码与环境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可获取、可重建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与清单一致且存在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文件、含索引与 SHA-256 校验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项单元测试通过；</w:t>
            </w:r>
            <w:r>
              <w:rPr>
                <w:rFonts w:ascii="Consolas" w:hAnsi="Consolas"/>
                <w:sz w:val="16"/>
              </w:rPr>
              <w:t>pytest.ini</w:t>
            </w:r>
            <w:r>
              <w:rPr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</w:t>
            </w:r>
            <w:r>
              <w:rPr>
                <w:b/>
                <w:sz w:val="16"/>
              </w:rPr>
              <w:t>尚余按 JISA 官方模板排版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缺失项（仅剩 1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是否需你参与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送专业润色，或逐章人工改写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是（需确认是否付费润色）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F9（余项）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下载模板后套用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编写 Dockerfile 与 conda-lock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添加 GitHub Actions 跑 </w:t>
            </w:r>
            <w:r>
              <w:rPr>
                <w:rFonts w:ascii="Consolas" w:hAnsi="Consolas"/>
                <w:sz w:val="16"/>
              </w:rPr>
              <w:t>pytest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图形摘要、投稿信、期刊模板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按新主线重做，需先确认目标期刊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部分是</w:t>
            </w:r>
          </w:p>
        </w:tc>
      </w:tr>
    </w:tbl>
    <w:p>
      <w:pPr>
        <w:spacing w:after="40"/>
      </w:pPr>
    </w:p>
    <w:p>
      <w:pPr>
        <w:pStyle w:val="Heading2"/>
      </w:pPr>
      <w:r>
        <w:t>部分通过项（10 项）中最值得补的三条</w:t>
      </w:r>
    </w:p>
    <w:p>
      <w:r>
        <w:t>（十种子扩展已解决 D9/D10/D11/D12 四项。）以下三条仍值得补：</w:t>
      </w:r>
    </w:p>
    <w:p>
      <w:pPr>
        <w:pStyle w:val="ListNumber"/>
      </w:pPr>
      <w:r>
        <w:rPr>
          <w:b/>
        </w:rPr>
        <w:t>C3 命题 3 仍为定义性陈述</w:t>
      </w:r>
      <w:r>
        <w:t>：可改写为「风险模型输出差的界 \(\epsilon\) 与权重熵偏离 1 的定量关系」，使其成为可检验命题。</w:t>
      </w:r>
    </w:p>
    <w:p>
      <w:pPr>
        <w:pStyle w:val="ListNumber"/>
      </w:pPr>
      <w:r>
        <w:rPr>
          <w:b/>
        </w:rPr>
        <w:t>D11 主种子仅 3 个</w:t>
      </w:r>
      <w:r>
        <w:t>：直接导致 D9 的严格边界（0.005）不成立。扩到 10 个种子可同时改善 D9、D10、D11 三项。</w:t>
      </w:r>
    </w:p>
    <w:p>
      <w:pPr>
        <w:pStyle w:val="ListNumber"/>
      </w:pPr>
      <w:r>
        <w:rPr>
          <w:b/>
        </w:rPr>
        <w:t>D7 资源画像不全</w:t>
      </w:r>
      <w:r>
        <w:t>：论文主张成本交换，只测时间不足以支撑，建议补内存、模型体积与吞吐。</w:t>
      </w:r>
    </w:p>
    <w:p>
      <w:pPr>
        <w:pStyle w:val="Heading2"/>
      </w:pPr>
      <w:r>
        <w:t>本轮新增的诚实披露</w:t>
      </w:r>
    </w:p>
    <w:p>
      <w:r>
        <w:t>6.5 节新增两条局限说明，消除了此前「引言提出危害但未处理」的落差：</w:t>
      </w:r>
    </w:p>
    <w:p>
      <w:pPr>
        <w:pStyle w:val="ListBullet"/>
      </w:pPr>
      <w:r>
        <w:rPr>
          <w:b/>
        </w:rPr>
        <w:t>近重复只按精确形式剔除</w:t>
      </w:r>
      <w:r>
        <w:t>：四位有效数字下另有 0.36% 的行构成近重复，104 条测试行（0.21%）与训练行重叠；剔除后三模型 Macro-F1 变化不超过 0.00057，另有敏感性检验。</w:t>
      </w:r>
    </w:p>
    <w:p>
      <w:pPr>
        <w:pStyle w:val="ListBullet"/>
      </w:pPr>
      <w:r>
        <w:rPr>
          <w:b/>
        </w:rPr>
        <w:t>未评估对抗鲁棒性</w:t>
      </w:r>
      <w:r>
        <w:t>：只施加随机扰动，不构成对自适应对手的保证。</w:t>
      </w:r>
    </w:p>
    <w:p>
      <w:pPr>
        <w:pStyle w:val="Heading2"/>
      </w:pPr>
      <w:r>
        <w:t>部分通过项中必须由你处理的</w:t>
      </w:r>
    </w:p>
    <w:p>
      <w:pPr>
        <w:pStyle w:val="ListBullet"/>
      </w:pPr>
      <w:r>
        <w:rPr>
          <w:b/>
        </w:rPr>
        <w:t>A3</w:t>
      </w:r>
      <w:r>
        <w:t>：13 条 DOI 核验（我可执行，但需联网逐条核对）。</w:t>
      </w:r>
    </w:p>
    <w:p>
      <w:pPr>
        <w:pStyle w:val="ListBullet"/>
      </w:pPr>
      <w:r>
        <w:rPr>
          <w:b/>
        </w:rPr>
        <w:t>A5 / A6</w:t>
      </w:r>
      <w:r>
        <w:t>：作者信息、基金、利益冲突、CRediT 内容（必须由你提供）。</w:t>
      </w:r>
    </w:p>
    <w:p>
      <w:pPr>
        <w:pStyle w:val="ListBullet"/>
      </w:pPr>
      <w:r>
        <w:rPr>
          <w:b/>
        </w:rPr>
        <w:t>B5</w:t>
      </w:r>
      <w:r>
        <w:t>：目标期刊定位确认（与导师讨论"协议与边界"型贡献的接受度）。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