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协议敏感性主导模型选择：面向条件集成加权的泄漏受控网络入侵检测研究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作为独立原生标签基准，在三组固定随机种子上比较全特征、卡方、互信息与方差分析四种特征视图，以及风险校准保形森林（Risk-Calibrated Conformal Forest，RCCF）、等权随机森林、极端随机树与 XGBoost。结果表明：在自然先验主协议下，RCCF 与等权卡方随机森林的 Macro-F1 平均差仅 +0.0011，配对 Bootstrap 的合并 90% 区间为 [−0.00290, +0.00550]，在 SESOI = 0.01 Macro-F1 下给出等价结论，逐种子精确 McNemar 检验均不显著（p = 0.508 / 0.092 / 0.344），四个专家在测试集上没有任何一条预测分歧；所学权重的归一化熵为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一张把协议效应与模型效应分离的定量地图</w:t>
      </w:r>
      <w:r>
        <w:t>。我们在同一批数据上测量四类差异来源并给出量级：聚合策略（+0.0011）、特征视图（−0.0009）、类别先验（+0.072）、去重顺序（至多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Macro-F1，在一组预先固定的随机种子（42、2024、3407）上取平均。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校正，用于多重比较 [37]；（v）等价性检验（TOST）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w:t>
      </w:r>
      <w:r>
        <w:t xml:space="preserve"> 设风险模型输出近似相等，即 r_e(x) ≈ c(x) 对所有 e 成立，则 w_e(x) ≈ 1/Q，条件加权退化为等权平均。其可观测判据是归一化权重熵趋近于 1：</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自然先验总体（3 种子均值）</w:t>
            </w:r>
          </w:p>
        </w:tc>
        <w:tc>
          <w:tcPr>
            <w:tcW w:type="dxa" w:w="2448"/>
          </w:tcPr>
          <w:p>
            <w:pPr>
              <w:spacing w:after="0"/>
            </w:pPr>
            <w:r>
              <w:rPr>
                <w:sz w:val="16"/>
              </w:rPr>
            </w:r>
            <w:r>
              <w:rPr>
                <w:sz w:val="16"/>
              </w:rPr>
              <w:t>0.887960</w:t>
            </w:r>
          </w:p>
        </w:tc>
        <w:tc>
          <w:tcPr>
            <w:tcW w:type="dxa" w:w="2448"/>
          </w:tcPr>
          <w:p>
            <w:pPr>
              <w:spacing w:after="0"/>
            </w:pPr>
            <w:r>
              <w:rPr>
                <w:sz w:val="16"/>
              </w:rPr>
            </w:r>
            <w:r>
              <w:rPr>
                <w:sz w:val="16"/>
              </w:rPr>
              <w:t>0.888870</w:t>
            </w:r>
          </w:p>
        </w:tc>
        <w:tc>
          <w:tcPr>
            <w:tcW w:type="dxa" w:w="2448"/>
          </w:tcPr>
          <w:p>
            <w:pPr>
              <w:spacing w:after="0"/>
            </w:pPr>
            <w:r>
              <w:rPr>
                <w:sz w:val="16"/>
              </w:rPr>
            </w:r>
            <w:r>
              <w:rPr>
                <w:b/>
                <w:sz w:val="16"/>
              </w:rPr>
              <w:t>+0.00091</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给出在自然先验总体与平衡控制总体上的主结果。所有数字为三个固定随机种子的均值。</w:t>
      </w:r>
    </w:p>
    <w:p>
      <w:r>
        <w:rPr>
          <w:b/>
        </w:rPr>
        <w:t>表 4 主结果：两个总体上的模型对比（三种子均值）</w:t>
      </w:r>
    </w:p>
    <w:p>
      <w:r>
        <w:t>（a）自然先验总体 P_nat，测试集 7 986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0.97792</w:t>
            </w:r>
          </w:p>
        </w:tc>
        <w:tc>
          <w:tcPr>
            <w:tcW w:type="dxa" w:w="1088"/>
          </w:tcPr>
          <w:p>
            <w:pPr>
              <w:spacing w:after="0"/>
            </w:pPr>
            <w:r>
              <w:rPr>
                <w:sz w:val="16"/>
              </w:rPr>
            </w:r>
            <w:r>
              <w:rPr>
                <w:sz w:val="16"/>
              </w:rPr>
              <w:t>0.94920</w:t>
            </w:r>
          </w:p>
        </w:tc>
        <w:tc>
          <w:tcPr>
            <w:tcW w:type="dxa" w:w="1088"/>
          </w:tcPr>
          <w:p>
            <w:pPr>
              <w:spacing w:after="0"/>
            </w:pPr>
            <w:r>
              <w:rPr>
                <w:sz w:val="16"/>
              </w:rPr>
            </w:r>
            <w:r>
              <w:rPr>
                <w:b/>
                <w:sz w:val="16"/>
              </w:rPr>
              <w:t>0.889955</w:t>
            </w:r>
          </w:p>
        </w:tc>
        <w:tc>
          <w:tcPr>
            <w:tcW w:type="dxa" w:w="1088"/>
          </w:tcPr>
          <w:p>
            <w:pPr>
              <w:spacing w:after="0"/>
            </w:pPr>
            <w:r>
              <w:rPr>
                <w:sz w:val="16"/>
              </w:rPr>
            </w:r>
            <w:r>
              <w:rPr>
                <w:b/>
                <w:sz w:val="16"/>
              </w:rPr>
              <w:t>0.05148</w:t>
            </w:r>
          </w:p>
        </w:tc>
        <w:tc>
          <w:tcPr>
            <w:tcW w:type="dxa" w:w="1088"/>
          </w:tcPr>
          <w:p>
            <w:pPr>
              <w:spacing w:after="0"/>
            </w:pPr>
            <w:r>
              <w:rPr>
                <w:sz w:val="16"/>
              </w:rPr>
            </w:r>
            <w:r>
              <w:rPr>
                <w:b/>
                <w:sz w:val="16"/>
              </w:rPr>
              <w:t>0.006312</w:t>
            </w:r>
          </w:p>
        </w:tc>
        <w:tc>
          <w:tcPr>
            <w:tcW w:type="dxa" w:w="1088"/>
          </w:tcPr>
          <w:p>
            <w:pPr>
              <w:spacing w:after="0"/>
            </w:pPr>
            <w:r>
              <w:rPr>
                <w:sz w:val="16"/>
              </w:rPr>
            </w:r>
            <w:r>
              <w:rPr>
                <w:sz w:val="16"/>
              </w:rPr>
              <w:t>0.006605</w:t>
            </w:r>
          </w:p>
        </w:tc>
        <w:tc>
          <w:tcPr>
            <w:tcW w:type="dxa" w:w="1088"/>
          </w:tcPr>
          <w:p>
            <w:pPr>
              <w:spacing w:after="0"/>
            </w:pPr>
            <w:r>
              <w:rPr>
                <w:sz w:val="16"/>
              </w:rPr>
            </w:r>
            <w:r>
              <w:rPr>
                <w:sz w:val="16"/>
              </w:rPr>
              <w:t>61.00</w:t>
            </w:r>
          </w:p>
        </w:tc>
        <w:tc>
          <w:tcPr>
            <w:tcW w:type="dxa" w:w="1088"/>
          </w:tcPr>
          <w:p>
            <w:pPr>
              <w:spacing w:after="0"/>
            </w:pPr>
            <w:r>
              <w:rPr>
                <w:sz w:val="16"/>
              </w:rPr>
            </w:r>
            <w:r>
              <w:rPr>
                <w:sz w:val="16"/>
              </w:rPr>
              <w:t>0.173</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0.97759</w:t>
            </w:r>
          </w:p>
        </w:tc>
        <w:tc>
          <w:tcPr>
            <w:tcW w:type="dxa" w:w="1088"/>
          </w:tcPr>
          <w:p>
            <w:pPr>
              <w:spacing w:after="0"/>
            </w:pPr>
            <w:r>
              <w:rPr>
                <w:sz w:val="16"/>
              </w:rPr>
            </w:r>
            <w:r>
              <w:rPr>
                <w:sz w:val="16"/>
              </w:rPr>
              <w:t>0.94948</w:t>
            </w:r>
          </w:p>
        </w:tc>
        <w:tc>
          <w:tcPr>
            <w:tcW w:type="dxa" w:w="1088"/>
          </w:tcPr>
          <w:p>
            <w:pPr>
              <w:spacing w:after="0"/>
            </w:pPr>
            <w:r>
              <w:rPr>
                <w:sz w:val="16"/>
              </w:rPr>
            </w:r>
            <w:r>
              <w:rPr>
                <w:sz w:val="16"/>
              </w:rPr>
              <w:t>0.888870</w:t>
            </w:r>
          </w:p>
        </w:tc>
        <w:tc>
          <w:tcPr>
            <w:tcW w:type="dxa" w:w="1088"/>
          </w:tcPr>
          <w:p>
            <w:pPr>
              <w:spacing w:after="0"/>
            </w:pPr>
            <w:r>
              <w:rPr>
                <w:sz w:val="16"/>
              </w:rPr>
            </w:r>
            <w:r>
              <w:rPr>
                <w:sz w:val="16"/>
              </w:rPr>
              <w:t>0.05283</w:t>
            </w:r>
          </w:p>
        </w:tc>
        <w:tc>
          <w:tcPr>
            <w:tcW w:type="dxa" w:w="1088"/>
          </w:tcPr>
          <w:p>
            <w:pPr>
              <w:spacing w:after="0"/>
            </w:pPr>
            <w:r>
              <w:rPr>
                <w:sz w:val="16"/>
              </w:rPr>
            </w:r>
            <w:r>
              <w:rPr>
                <w:sz w:val="16"/>
              </w:rPr>
              <w:t>0.006334</w:t>
            </w:r>
          </w:p>
        </w:tc>
        <w:tc>
          <w:tcPr>
            <w:tcW w:type="dxa" w:w="1088"/>
          </w:tcPr>
          <w:p>
            <w:pPr>
              <w:spacing w:after="0"/>
            </w:pPr>
            <w:r>
              <w:rPr>
                <w:sz w:val="16"/>
              </w:rPr>
            </w:r>
            <w:r>
              <w:rPr>
                <w:b/>
                <w:sz w:val="16"/>
              </w:rPr>
              <w:t>0.004442</w:t>
            </w:r>
          </w:p>
        </w:tc>
        <w:tc>
          <w:tcPr>
            <w:tcW w:type="dxa" w:w="1088"/>
          </w:tcPr>
          <w:p>
            <w:pPr>
              <w:spacing w:after="0"/>
            </w:pPr>
            <w:r>
              <w:rPr>
                <w:sz w:val="16"/>
              </w:rPr>
            </w:r>
            <w:r>
              <w:rPr>
                <w:sz w:val="16"/>
              </w:rPr>
              <w:t>0.784</w:t>
            </w:r>
          </w:p>
        </w:tc>
        <w:tc>
          <w:tcPr>
            <w:tcW w:type="dxa" w:w="1088"/>
          </w:tcPr>
          <w:p>
            <w:pPr>
              <w:spacing w:after="0"/>
            </w:pPr>
            <w:r>
              <w:rPr>
                <w:sz w:val="16"/>
              </w:rPr>
            </w:r>
            <w:r>
              <w:rPr>
                <w:sz w:val="16"/>
              </w:rPr>
              <w:t>0.0295</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0.97696</w:t>
            </w:r>
          </w:p>
        </w:tc>
        <w:tc>
          <w:tcPr>
            <w:tcW w:type="dxa" w:w="1088"/>
          </w:tcPr>
          <w:p>
            <w:pPr>
              <w:spacing w:after="0"/>
            </w:pPr>
            <w:r>
              <w:rPr>
                <w:sz w:val="16"/>
              </w:rPr>
            </w:r>
            <w:r>
              <w:rPr>
                <w:sz w:val="16"/>
              </w:rPr>
              <w:t>0.95085</w:t>
            </w:r>
          </w:p>
        </w:tc>
        <w:tc>
          <w:tcPr>
            <w:tcW w:type="dxa" w:w="1088"/>
          </w:tcPr>
          <w:p>
            <w:pPr>
              <w:spacing w:after="0"/>
            </w:pPr>
            <w:r>
              <w:rPr>
                <w:sz w:val="16"/>
              </w:rPr>
            </w:r>
            <w:r>
              <w:rPr>
                <w:sz w:val="16"/>
              </w:rPr>
              <w:t>0.887960</w:t>
            </w:r>
          </w:p>
        </w:tc>
        <w:tc>
          <w:tcPr>
            <w:tcW w:type="dxa" w:w="1088"/>
          </w:tcPr>
          <w:p>
            <w:pPr>
              <w:spacing w:after="0"/>
            </w:pPr>
            <w:r>
              <w:rPr>
                <w:sz w:val="16"/>
              </w:rPr>
            </w:r>
            <w:r>
              <w:rPr>
                <w:sz w:val="16"/>
              </w:rPr>
              <w:t>0.05424</w:t>
            </w:r>
          </w:p>
        </w:tc>
        <w:tc>
          <w:tcPr>
            <w:tcW w:type="dxa" w:w="1088"/>
          </w:tcPr>
          <w:p>
            <w:pPr>
              <w:spacing w:after="0"/>
            </w:pPr>
            <w:r>
              <w:rPr>
                <w:sz w:val="16"/>
              </w:rPr>
            </w:r>
            <w:r>
              <w:rPr>
                <w:sz w:val="16"/>
              </w:rPr>
              <w:t>0.006624</w:t>
            </w:r>
          </w:p>
        </w:tc>
        <w:tc>
          <w:tcPr>
            <w:tcW w:type="dxa" w:w="1088"/>
          </w:tcPr>
          <w:p>
            <w:pPr>
              <w:spacing w:after="0"/>
            </w:pPr>
            <w:r>
              <w:rPr>
                <w:sz w:val="16"/>
              </w:rPr>
            </w:r>
            <w:r>
              <w:rPr>
                <w:sz w:val="16"/>
              </w:rPr>
              <w:t>0.005126</w:t>
            </w:r>
          </w:p>
        </w:tc>
        <w:tc>
          <w:tcPr>
            <w:tcW w:type="dxa" w:w="1088"/>
          </w:tcPr>
          <w:p>
            <w:pPr>
              <w:spacing w:after="0"/>
            </w:pPr>
            <w:r>
              <w:rPr>
                <w:sz w:val="16"/>
              </w:rPr>
            </w:r>
            <w:r>
              <w:rPr>
                <w:sz w:val="16"/>
              </w:rPr>
              <w:t>0.816</w:t>
            </w:r>
          </w:p>
        </w:tc>
        <w:tc>
          <w:tcPr>
            <w:tcW w:type="dxa" w:w="1088"/>
          </w:tcPr>
          <w:p>
            <w:pPr>
              <w:spacing w:after="0"/>
            </w:pPr>
            <w:r>
              <w:rPr>
                <w:sz w:val="16"/>
              </w:rPr>
            </w:r>
            <w:r>
              <w:rPr>
                <w:sz w:val="16"/>
              </w:rPr>
              <w:t>0.0367</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0.96369</w:t>
            </w:r>
          </w:p>
        </w:tc>
        <w:tc>
          <w:tcPr>
            <w:tcW w:type="dxa" w:w="1088"/>
          </w:tcPr>
          <w:p>
            <w:pPr>
              <w:spacing w:after="0"/>
            </w:pPr>
            <w:r>
              <w:rPr>
                <w:sz w:val="16"/>
              </w:rPr>
            </w:r>
            <w:r>
              <w:rPr>
                <w:b/>
                <w:sz w:val="16"/>
              </w:rPr>
              <w:t>0.96173</w:t>
            </w:r>
          </w:p>
        </w:tc>
        <w:tc>
          <w:tcPr>
            <w:tcW w:type="dxa" w:w="1088"/>
          </w:tcPr>
          <w:p>
            <w:pPr>
              <w:spacing w:after="0"/>
            </w:pPr>
            <w:r>
              <w:rPr>
                <w:sz w:val="16"/>
              </w:rPr>
            </w:r>
            <w:r>
              <w:rPr>
                <w:sz w:val="16"/>
              </w:rPr>
              <w:t>0.857713</w:t>
            </w:r>
          </w:p>
        </w:tc>
        <w:tc>
          <w:tcPr>
            <w:tcW w:type="dxa" w:w="1088"/>
          </w:tcPr>
          <w:p>
            <w:pPr>
              <w:spacing w:after="0"/>
            </w:pPr>
            <w:r>
              <w:rPr>
                <w:sz w:val="16"/>
              </w:rPr>
            </w:r>
            <w:r>
              <w:rPr>
                <w:sz w:val="16"/>
              </w:rPr>
              <w:t>0.08903</w:t>
            </w:r>
          </w:p>
        </w:tc>
        <w:tc>
          <w:tcPr>
            <w:tcW w:type="dxa" w:w="1088"/>
          </w:tcPr>
          <w:p>
            <w:pPr>
              <w:spacing w:after="0"/>
            </w:pPr>
            <w:r>
              <w:rPr>
                <w:sz w:val="16"/>
              </w:rPr>
            </w:r>
            <w:r>
              <w:rPr>
                <w:sz w:val="16"/>
              </w:rPr>
              <w:t>0.010849</w:t>
            </w:r>
          </w:p>
        </w:tc>
        <w:tc>
          <w:tcPr>
            <w:tcW w:type="dxa" w:w="1088"/>
          </w:tcPr>
          <w:p>
            <w:pPr>
              <w:spacing w:after="0"/>
            </w:pPr>
            <w:r>
              <w:rPr>
                <w:sz w:val="16"/>
              </w:rPr>
            </w:r>
            <w:r>
              <w:rPr>
                <w:sz w:val="16"/>
              </w:rPr>
              <w:t>0.015791</w:t>
            </w:r>
          </w:p>
        </w:tc>
        <w:tc>
          <w:tcPr>
            <w:tcW w:type="dxa" w:w="1088"/>
          </w:tcPr>
          <w:p>
            <w:pPr>
              <w:spacing w:after="0"/>
            </w:pPr>
            <w:r>
              <w:rPr>
                <w:sz w:val="16"/>
              </w:rPr>
            </w:r>
            <w:r>
              <w:rPr>
                <w:sz w:val="16"/>
              </w:rPr>
              <w:t>0.442</w:t>
            </w:r>
          </w:p>
        </w:tc>
        <w:tc>
          <w:tcPr>
            <w:tcW w:type="dxa" w:w="1088"/>
          </w:tcPr>
          <w:p>
            <w:pPr>
              <w:spacing w:after="0"/>
            </w:pPr>
            <w:r>
              <w:rPr>
                <w:sz w:val="16"/>
              </w:rPr>
            </w:r>
            <w:r>
              <w:rPr>
                <w:sz w:val="16"/>
              </w:rPr>
              <w:t>0.0368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在自然先验总体下，RCCF 的 Macro-F1 为 0.889955，等权卡方森林为 0.888870，平均差 </w:t>
      </w:r>
      <w:r>
        <w:rPr>
          <w:b/>
        </w:rPr>
        <w:t>+0.001085</w:t>
      </w:r>
      <w:r>
        <w:t xml:space="preserve">；在平衡控制总体下，RCCF 为 0.961807，等权卡方森林为 0.963215，RCCF 反而落后 </w:t>
      </w:r>
      <w:r>
        <w:rPr>
          <w:b/>
        </w:rPr>
        <w:t>−0.001408</w:t>
      </w:r>
      <w:r>
        <w:t>。两个总体的符号相反，量级都在千分之一量级。另有一个基线在另一项指标上更强：极端随机树的平衡准确率为 0.96173，高于 RCCF 的 0.94920，为全场最高，但其 Macro-F1 最低（0.857713），原因在于它把预测更均匀地分摊到稀有类上。</w:t>
      </w:r>
    </w:p>
    <w:p>
      <w:r>
        <w:rPr>
          <w:b/>
        </w:rPr>
        <w:t>第二，配对统计给出明确的等价边界。</w:t>
      </w:r>
      <w:r>
        <w:t xml:space="preserve"> 表 5 给出逐种子配对结果。三个种子的差分别为 −0.00149、+0.00314、+0.00160。以测试行为重采样单元的配对 Bootstrap 给出合并 90% 区间 [−0.00290, +0.00550]，在预先设定的等价边界 SESOI = 0.01 Macro-F1 下完全落入边界内，因此可在 α = 0.05 水平主张两者等价；但在 SESOI = 0.005 下不成立，因为上界 0.0055 越界。逐种子精确 McNemar 检验的 p 值为 0.508、0.092、0.344，合并 23 958 条测试行的 p 值为 0.215，均不显著。</w:t>
      </w:r>
    </w:p>
    <w:p>
      <w:r>
        <w:rPr>
          <w:b/>
        </w:rPr>
        <w:t>表 5 自然先验总体上的成对检验（RCCF − 等权卡方森林）</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种子</w:t>
            </w:r>
          </w:p>
        </w:tc>
        <w:tc>
          <w:tcPr>
            <w:tcW w:type="dxa" w:w="1958"/>
          </w:tcPr>
          <w:p>
            <w:pPr>
              <w:spacing w:after="0"/>
            </w:pPr>
            <w:r>
              <w:rPr>
                <w:sz w:val="16"/>
              </w:rPr>
            </w:r>
            <w:r>
              <w:rPr>
                <w:b/>
                <w:sz w:val="16"/>
              </w:rPr>
              <w:t>Macro-F1 差（RCCF − 等权 χ²）</w:t>
            </w:r>
          </w:p>
        </w:tc>
        <w:tc>
          <w:tcPr>
            <w:tcW w:type="dxa" w:w="1958"/>
          </w:tcPr>
          <w:p>
            <w:pPr>
              <w:spacing w:after="0"/>
            </w:pPr>
            <w:r>
              <w:rPr>
                <w:sz w:val="16"/>
              </w:rPr>
            </w:r>
            <w:r>
              <w:rPr>
                <w:b/>
                <w:sz w:val="16"/>
              </w:rPr>
              <w:t>配对 Bootstrap 90% 区间</w:t>
            </w:r>
          </w:p>
        </w:tc>
        <w:tc>
          <w:tcPr>
            <w:tcW w:type="dxa" w:w="1958"/>
          </w:tcPr>
          <w:p>
            <w:pPr>
              <w:spacing w:after="0"/>
            </w:pPr>
            <w:r>
              <w:rPr>
                <w:sz w:val="16"/>
              </w:rPr>
            </w:r>
            <w:r>
              <w:rPr>
                <w:b/>
                <w:sz w:val="16"/>
              </w:rPr>
              <w:t>是否落入 ±0.01</w:t>
            </w:r>
          </w:p>
        </w:tc>
        <w:tc>
          <w:tcPr>
            <w:tcW w:type="dxa" w:w="1958"/>
          </w:tcPr>
          <w:p>
            <w:pPr>
              <w:spacing w:after="0"/>
            </w:pPr>
            <w:r>
              <w:rPr>
                <w:sz w:val="16"/>
              </w:rPr>
            </w:r>
            <w:r>
              <w:rPr>
                <w:b/>
                <w:sz w:val="16"/>
              </w:rPr>
              <w:t>精确 McNemar p</w:t>
            </w:r>
          </w:p>
        </w:tc>
      </w:tr>
      <w:tr>
        <w:tc>
          <w:tcPr>
            <w:tcW w:type="dxa" w:w="1958"/>
          </w:tcPr>
          <w:p>
            <w:pPr>
              <w:spacing w:after="0"/>
            </w:pPr>
            <w:r>
              <w:rPr>
                <w:sz w:val="16"/>
              </w:rPr>
            </w:r>
            <w:r>
              <w:rPr>
                <w:sz w:val="16"/>
              </w:rPr>
              <w:t>42</w:t>
            </w:r>
          </w:p>
        </w:tc>
        <w:tc>
          <w:tcPr>
            <w:tcW w:type="dxa" w:w="1958"/>
          </w:tcPr>
          <w:p>
            <w:pPr>
              <w:spacing w:after="0"/>
            </w:pPr>
            <w:r>
              <w:rPr>
                <w:sz w:val="16"/>
              </w:rPr>
            </w:r>
            <w:r>
              <w:rPr>
                <w:sz w:val="16"/>
              </w:rPr>
              <w:t>−0.001490</w:t>
            </w:r>
          </w:p>
        </w:tc>
        <w:tc>
          <w:tcPr>
            <w:tcW w:type="dxa" w:w="1958"/>
          </w:tcPr>
          <w:p>
            <w:pPr>
              <w:spacing w:after="0"/>
            </w:pPr>
            <w:r>
              <w:rPr>
                <w:sz w:val="16"/>
              </w:rPr>
            </w:r>
            <w:r>
              <w:rPr>
                <w:sz w:val="16"/>
              </w:rPr>
              <w:t>[−0.003823, +0.000580]</w:t>
            </w:r>
          </w:p>
        </w:tc>
        <w:tc>
          <w:tcPr>
            <w:tcW w:type="dxa" w:w="1958"/>
          </w:tcPr>
          <w:p>
            <w:pPr>
              <w:spacing w:after="0"/>
            </w:pPr>
            <w:r>
              <w:rPr>
                <w:sz w:val="16"/>
              </w:rPr>
            </w:r>
            <w:r>
              <w:rPr>
                <w:sz w:val="16"/>
              </w:rPr>
              <w:t>是</w:t>
            </w:r>
          </w:p>
        </w:tc>
        <w:tc>
          <w:tcPr>
            <w:tcW w:type="dxa" w:w="1958"/>
          </w:tcPr>
          <w:p>
            <w:pPr>
              <w:spacing w:after="0"/>
            </w:pPr>
            <w:r>
              <w:rPr>
                <w:sz w:val="16"/>
              </w:rPr>
            </w:r>
            <w:r>
              <w:rPr>
                <w:sz w:val="16"/>
              </w:rPr>
              <w:t>0.508</w:t>
            </w:r>
          </w:p>
        </w:tc>
      </w:tr>
      <w:tr>
        <w:tc>
          <w:tcPr>
            <w:tcW w:type="dxa" w:w="1958"/>
          </w:tcPr>
          <w:p>
            <w:pPr>
              <w:spacing w:after="0"/>
            </w:pPr>
            <w:r>
              <w:rPr>
                <w:sz w:val="16"/>
              </w:rPr>
            </w:r>
            <w:r>
              <w:rPr>
                <w:sz w:val="16"/>
              </w:rPr>
              <w:t>2024</w:t>
            </w:r>
          </w:p>
        </w:tc>
        <w:tc>
          <w:tcPr>
            <w:tcW w:type="dxa" w:w="1958"/>
          </w:tcPr>
          <w:p>
            <w:pPr>
              <w:spacing w:after="0"/>
            </w:pPr>
            <w:r>
              <w:rPr>
                <w:sz w:val="16"/>
              </w:rPr>
            </w:r>
            <w:r>
              <w:rPr>
                <w:sz w:val="16"/>
              </w:rPr>
              <w:t>+0.003142</w:t>
            </w:r>
          </w:p>
        </w:tc>
        <w:tc>
          <w:tcPr>
            <w:tcW w:type="dxa" w:w="1958"/>
          </w:tcPr>
          <w:p>
            <w:pPr>
              <w:spacing w:after="0"/>
            </w:pPr>
            <w:r>
              <w:rPr>
                <w:sz w:val="16"/>
              </w:rPr>
            </w:r>
            <w:r>
              <w:rPr>
                <w:sz w:val="16"/>
              </w:rPr>
              <w:t>[−0.000366, +0.006950]</w:t>
            </w:r>
          </w:p>
        </w:tc>
        <w:tc>
          <w:tcPr>
            <w:tcW w:type="dxa" w:w="1958"/>
          </w:tcPr>
          <w:p>
            <w:pPr>
              <w:spacing w:after="0"/>
            </w:pPr>
            <w:r>
              <w:rPr>
                <w:sz w:val="16"/>
              </w:rPr>
            </w:r>
            <w:r>
              <w:rPr>
                <w:sz w:val="16"/>
              </w:rPr>
              <w:t>是</w:t>
            </w:r>
          </w:p>
        </w:tc>
        <w:tc>
          <w:tcPr>
            <w:tcW w:type="dxa" w:w="1958"/>
          </w:tcPr>
          <w:p>
            <w:pPr>
              <w:spacing w:after="0"/>
            </w:pPr>
            <w:r>
              <w:rPr>
                <w:sz w:val="16"/>
              </w:rPr>
            </w:r>
            <w:r>
              <w:rPr>
                <w:sz w:val="16"/>
              </w:rPr>
              <w:t>0.092</w:t>
            </w:r>
          </w:p>
        </w:tc>
      </w:tr>
      <w:tr>
        <w:tc>
          <w:tcPr>
            <w:tcW w:type="dxa" w:w="1958"/>
          </w:tcPr>
          <w:p>
            <w:pPr>
              <w:spacing w:after="0"/>
            </w:pPr>
            <w:r>
              <w:rPr>
                <w:sz w:val="16"/>
              </w:rPr>
            </w:r>
            <w:r>
              <w:rPr>
                <w:sz w:val="16"/>
              </w:rPr>
              <w:t>3407</w:t>
            </w:r>
          </w:p>
        </w:tc>
        <w:tc>
          <w:tcPr>
            <w:tcW w:type="dxa" w:w="1958"/>
          </w:tcPr>
          <w:p>
            <w:pPr>
              <w:spacing w:after="0"/>
            </w:pPr>
            <w:r>
              <w:rPr>
                <w:sz w:val="16"/>
              </w:rPr>
            </w:r>
            <w:r>
              <w:rPr>
                <w:sz w:val="16"/>
              </w:rPr>
              <w:t>+0.001602</w:t>
            </w:r>
          </w:p>
        </w:tc>
        <w:tc>
          <w:tcPr>
            <w:tcW w:type="dxa" w:w="1958"/>
          </w:tcPr>
          <w:p>
            <w:pPr>
              <w:spacing w:after="0"/>
            </w:pPr>
            <w:r>
              <w:rPr>
                <w:sz w:val="16"/>
              </w:rPr>
            </w:r>
            <w:r>
              <w:rPr>
                <w:sz w:val="16"/>
              </w:rPr>
              <w:t>[−0.000142, +0.003605]</w:t>
            </w:r>
          </w:p>
        </w:tc>
        <w:tc>
          <w:tcPr>
            <w:tcW w:type="dxa" w:w="1958"/>
          </w:tcPr>
          <w:p>
            <w:pPr>
              <w:spacing w:after="0"/>
            </w:pPr>
            <w:r>
              <w:rPr>
                <w:sz w:val="16"/>
              </w:rPr>
            </w:r>
            <w:r>
              <w:rPr>
                <w:sz w:val="16"/>
              </w:rPr>
              <w:t>是</w:t>
            </w:r>
          </w:p>
        </w:tc>
        <w:tc>
          <w:tcPr>
            <w:tcW w:type="dxa" w:w="1958"/>
          </w:tcPr>
          <w:p>
            <w:pPr>
              <w:spacing w:after="0"/>
            </w:pPr>
            <w:r>
              <w:rPr>
                <w:sz w:val="16"/>
              </w:rPr>
            </w:r>
            <w:r>
              <w:rPr>
                <w:sz w:val="16"/>
              </w:rPr>
              <w:t>0.344</w:t>
            </w:r>
          </w:p>
        </w:tc>
      </w:tr>
      <w:tr>
        <w:tc>
          <w:tcPr>
            <w:tcW w:type="dxa" w:w="1958"/>
          </w:tcPr>
          <w:p>
            <w:pPr>
              <w:spacing w:after="0"/>
            </w:pPr>
            <w:r>
              <w:rPr>
                <w:sz w:val="16"/>
              </w:rPr>
            </w:r>
            <w:r>
              <w:rPr>
                <w:sz w:val="16"/>
              </w:rPr>
              <w:t>合并（23 958 行）</w:t>
            </w:r>
          </w:p>
        </w:tc>
        <w:tc>
          <w:tcPr>
            <w:tcW w:type="dxa" w:w="1958"/>
          </w:tcPr>
          <w:p>
            <w:pPr>
              <w:spacing w:after="0"/>
            </w:pPr>
            <w:r>
              <w:rPr>
                <w:sz w:val="16"/>
              </w:rPr>
            </w:r>
            <w:r>
              <w:rPr>
                <w:sz w:val="16"/>
              </w:rPr>
              <w:t>+0.001085</w:t>
            </w:r>
          </w:p>
        </w:tc>
        <w:tc>
          <w:tcPr>
            <w:tcW w:type="dxa" w:w="1958"/>
          </w:tcPr>
          <w:p>
            <w:pPr>
              <w:spacing w:after="0"/>
            </w:pPr>
            <w:r>
              <w:rPr>
                <w:sz w:val="16"/>
              </w:rPr>
            </w:r>
            <w:r>
              <w:rPr>
                <w:sz w:val="16"/>
              </w:rPr>
              <w:t>[−0.002898, +0.005501]</w:t>
            </w:r>
          </w:p>
        </w:tc>
        <w:tc>
          <w:tcPr>
            <w:tcW w:type="dxa" w:w="1958"/>
          </w:tcPr>
          <w:p>
            <w:pPr>
              <w:spacing w:after="0"/>
            </w:pPr>
            <w:r>
              <w:rPr>
                <w:sz w:val="16"/>
              </w:rPr>
            </w:r>
            <w:r>
              <w:rPr>
                <w:sz w:val="16"/>
              </w:rPr>
              <w:t>是（SESOI = 0.01）／否（SESOI = 0.005）</w:t>
            </w:r>
          </w:p>
        </w:tc>
        <w:tc>
          <w:tcPr>
            <w:tcW w:type="dxa" w:w="1958"/>
          </w:tcPr>
          <w:p>
            <w:pPr>
              <w:spacing w:after="0"/>
            </w:pPr>
            <w:r>
              <w:rPr>
                <w:sz w:val="16"/>
              </w:rPr>
            </w:r>
            <w:r>
              <w:rPr>
                <w:sz w:val="16"/>
              </w:rPr>
              <w:t>0.215</w:t>
            </w:r>
          </w:p>
        </w:tc>
      </w:tr>
      <w:tr>
        <w:tc>
          <w:tcPr>
            <w:tcW w:type="dxa" w:w="1958"/>
          </w:tcPr>
          <w:p>
            <w:pPr>
              <w:spacing w:after="0"/>
            </w:pPr>
            <w:r>
              <w:rPr>
                <w:sz w:val="16"/>
              </w:rPr>
            </w:r>
            <w:r>
              <w:rPr>
                <w:sz w:val="16"/>
              </w:rPr>
              <w:t>对照：vs 全特征等权森林</w:t>
            </w:r>
          </w:p>
        </w:tc>
        <w:tc>
          <w:tcPr>
            <w:tcW w:type="dxa" w:w="1958"/>
          </w:tcPr>
          <w:p>
            <w:pPr>
              <w:spacing w:after="0"/>
            </w:pPr>
            <w:r>
              <w:rPr>
                <w:sz w:val="16"/>
              </w:rPr>
            </w:r>
            <w:r>
              <w:rPr>
                <w:sz w:val="16"/>
              </w:rPr>
              <w:t>+0.001995</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b/>
                <w:sz w:val="16"/>
              </w:rPr>
              <w:t>0.00061（RCCF 更优）</w:t>
            </w:r>
          </w:p>
        </w:tc>
      </w:tr>
    </w:tbl>
    <w:p>
      <w:pPr>
        <w:spacing w:after="40"/>
      </w:pPr>
    </w:p>
    <w:p>
      <w:r>
        <w:rPr>
          <w:b/>
        </w:rPr>
        <w:t>第三，相对全特征等权森林，差异显著但量级等于一次特征视图选择。</w:t>
      </w:r>
      <w:r>
        <w:t xml:space="preserve"> 与全特征等权森林相比，RCCF 的 Macro-F1 高 0.001995；合并 23 958 条测试行的精确 McNemar 检验 p = 0.00061，RCCF 在 33 行上胜出、10 行上落败。门控确实带来方向一致的微小优势，但其量级与「把特征视图从卡方换成全特征」带来的差异（+0.0009 至 +0.0022）属于同一档。结合 5.9 倍的推理代价，这一优势不具备工程交换价值。</w:t>
      </w:r>
    </w:p>
    <w:p>
      <w:r>
        <w:rPr>
          <w:b/>
        </w:rPr>
        <w:t>第四，代价是确定的，增益不是。</w:t>
      </w:r>
      <w:r>
        <w:t xml:space="preserve"> 自然先验下 RCCF 训练耗时 61.0 秒，等权森林为 0.78 秒；整批推理耗时 0.173 秒对 0.0295 秒（约 5.9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11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10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RQ3：协议效应比模型效应大一个数量级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6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0.889955，相差 </w:t>
      </w:r>
      <w:r>
        <w:rPr>
          <w:b/>
        </w:rPr>
        <w:t>+0.0719</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+0.0011、特征视图 +0.0009、去重顺序 +0.0014（最大 0.0060）、类别先验 +0.0719、调参预算 +0.0078。</w:t>
      </w:r>
      <w:r>
        <w:rPr>
          <w:b/>
        </w:rPr>
        <w:t>H3 假设被证伪：协议不可交换，而且协议效应的量级压过模型效应。</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7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8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Loss（0.05148）与 Brier（0.006312）优于等权森林（0.05283 / 0.006334），但 ECE 反而更差（0.006605 对 0.004442）。温度缩放可以把条件加权分支的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9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的自然先验总体上，条件加权森林与等权卡方森林的 Macro-F1 平均差为 +0.0011，配对 Bootstrap 合并 90% 区间 [−0.00290, +0.00550]，在 SESOI = 0.01 下等价，逐种子 McNemar 检验不显著（p = 0.508 / 0.092 / 0.344）；四个专家在测试集上没有任何一条预测分歧，归一化权重熵为 0.99998；命题 2 的显式上界证明 99.91% 的样本不受权重影响，门控 108 种超参数配置只产生 6 个不同的验证集取值。代价则是训练时间增加约 78 倍、推理时间增加约 5.9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协议效应主导模型效应。</w:t>
      </w:r>
      <w:r>
        <w:t xml:space="preserve"> 在同一批实验中，类别先验变化带来 +0.0719 的 Macro-F1 差异，去重顺序至多 +0.0060，而聚合策略仅 +0.0011。文件级压力测试中，同一模型的 Macro-F1 跨度达 0.3325 至 0.9997。因此，在公开入侵检测数据集上，</w:t>
      </w:r>
      <w:r>
        <w:rPr>
          <w:b/>
        </w:rPr>
        <w:t>报告什么协议比报告什么模型更能决定结论</w:t>
      </w:r>
      <w:r>
        <w:t>。</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v1.1.0，标签 v1.1.0）。原始数据集不随论文分发；论文记录来源地址、检索日期、版本快照与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 xml:space="preserve">说明：以下条目与英文稿完全一致，以保证 </w:t>
      </w:r>
      <w:r>
        <w:rPr>
          <w:rFonts w:ascii="Consolas" w:hAnsi="Consolas"/>
        </w:rPr>
        <w:t>[n]</w:t>
      </w:r>
      <w:r>
        <w:t xml:space="preserve"> 编号在两版中指向同一文献。标注 [DOI 待核验] 的条目需在投稿前用 Crossref 或出版社页面逐条核对。</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[DOI to verify]</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[DOI to verify]</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 to verify]</w:t>
      </w:r>
    </w:p>
    <w:p>
      <w:pPr>
        <w:pStyle w:val="ListNumber"/>
      </w:pPr>
      <w:r>
        <w:t>Arp D, Quiring E, Pendlebury F, et al. Dos and don'ts of machine learning in computer security. USENIX Security 2022: 3971-3988. [DOI to verify]</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[DOI to verify]</w:t>
      </w:r>
    </w:p>
    <w:p>
      <w:pPr>
        <w:pStyle w:val="ListNumber"/>
      </w:pPr>
      <w:r>
        <w:t>Ovadia Y, Fertig E, Ren J, et al. Can you trust your model's uncertainty? Evaluating predictive uncertainty under dataset shift. NeurIPS 2019: 13991-14002. [DOI to verify]</w:t>
      </w:r>
    </w:p>
    <w:p>
      <w:pPr>
        <w:pStyle w:val="ListNumber"/>
      </w:pPr>
      <w:r>
        <w:t>Lakshminarayanan B, Pritzel A, Blundell C. Simple and scalable predictive uncertainty estimation using deep ensembles. NeurIPS 2017: 6402-6413. [DOI to verify]</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[DOI to verify]</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[DOI to verify]</w:t>
      </w:r>
    </w:p>
    <w:p>
      <w:pPr>
        <w:pStyle w:val="ListNumber"/>
      </w:pPr>
      <w:r>
        <w:t>Holm S. A simple sequentially rejective multiple test procedure. Scandinavian Journal of Statistics, 1979, 6(2): 65-70. [DOI to verify]</w:t>
      </w:r>
    </w:p>
    <w:p>
      <w:pPr>
        <w:pStyle w:val="ListNumber"/>
      </w:pPr>
      <w:r>
        <w:t>Efron B, Tibshirani R J. An Introduction to the Bootstrap. Chapman &amp; Hall/CRC, 1993. [DOI to verify]</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[DOI to verify]</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bl>
    <w:p>
      <w:pPr>
        <w:spacing w:after="40"/>
      </w:pPr>
    </w:p>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