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Model Choice in Flow-Based Network Intrusion Detection: A Leakage-Controlled Study of Conditional Ensemble Weighting</w:t>
      </w:r>
    </w:p>
    <w:p>
      <w:pPr>
        <w:pStyle w:val="Heading1"/>
      </w:pPr>
      <w:r>
        <w:t>Abstract</w:t>
      </w:r>
    </w:p>
    <w:p>
      <w:r>
        <w:t>Reported performance differences between machine-learning intrusion-detection models are highly sensitive to duplicate flows, conflicting labels, feature-selection leakage and class priors. We test a widely adopted but rarely validated assumption: that fusing several random-forest experts with sample-specific reliability weights is reliably better than equal voting. Under a single leakage-controlled protocol we construct two explicit populations from CIC-IDS2017 - a 53,237-flow natural-prior population that retains observed class proportions and a 3,365-flow balanced control - and add NSL-KDD and UNSW-NB15 as independent native-label benchmarks, comparing full, chi-square, mutual-information and ANOVA feature views across conditional weighting (RCCF), equal-weight forests, extremely randomised trees, XGBoost and a multilayer perceptron over three fixed seeds. On the natural-prior protocol RCCF and an equal-weight chi-square forest differ by +0.0011 Macro-F1; a paired bootstrap gives a pooled 90% interval of [-0.00290, +0.00550], which is contained within a pre-specified equivalence margin of 0.01 Macro-F1 but not within 0.005, and per-seed exact McNemar tests are non-significant (p = 0.508 / 0.092 / 0.344). The four experts disagree on none of the test rows and the learned weights have a normalised entropy of 0.99998. By contrast, class prior changes Macro-F1 by +0.072, deduplication order by up to +0.0060, and file-level extrapolation moves the same model between 0.33 and 1.00 Macro-F1. Three identifiability conditions are derived and one of them is turned into a row-wise computable bound: 99.91% of the 23,958 test rows are provably invariant to the weighting, and the decision margin exceeds the perturbation bound by a median factor of 3,469 to 5,038. A search over all 108 gate hyper-parameter configurations yields only six distinct validation scores (range 0.00117), excluding insufficient tuning as an explanation. A reverse experiment shows that the gain is governed by expert diversity rather than by the implementation: two low-diversity expert sets gain exactly zero in six of six runs, whereas three deliberately decorrelated sets gain positively in nine of nine runs (slope 0.0646, Pearson r = 0.749). A neural baseline matches RCCF in accuracy (0.97679 versus 0.97792) while trailing by 0.092 Macro-F1, illustrating how strongly accuracy can mislead on imbalanced benchmarks. The contribution is a reusable leakage-controlled protocol, an identifiability boundary and a quantitative map that separates protocol effects from model effects; the evidence does not support claims of algorithmic superiority 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model effects.</w:t>
      </w:r>
      <w:r>
        <w:t xml:space="preserve"> On one experiment set we measure four sources of variation: aggregation (+0.0011), feature view (-0.0009),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model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use incompatible label spaces. Their scores are therefore never pooled, averaged or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random seeds (42, 2024, 3407).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for multiple comparisons [37];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chi2,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are</w:t>
      </w:r>
    </w:p>
    <w:p>
      <w:pPr>
        <w:jc w:val="center"/>
      </w:pPr>
      <w:r>
        <w:rPr>
          <w:rFonts w:ascii="Cambria Math" w:hAnsi="Cambria Math"/>
          <w:sz w:val="22"/>
        </w:rPr>
        <w:t>w_e(x)=\frac{\exp[-r_e(x)]}{\sum_{j=1}^{Q}\exp[-r_j(x)]},\qquad p(y\mid x)=\sum_{e=1}^{Q} w_e(x)\,p_e(y\mid x).</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w:t>
      </w:r>
    </w:p>
    <w:p>
      <w:pPr>
        <w:jc w:val="center"/>
      </w:pPr>
      <w:r>
        <w:rPr>
          <w:rFonts w:ascii="Cambria Math" w:hAnsi="Cambria Math"/>
          <w:sz w:val="22"/>
        </w:rPr>
        <w:t>\left\|p_w-\bar p\right\|_1\ \le\ \sum_{e=1}^{Q}\left|w_e-\frac{1}{Q}\right|\ =:\ \Delta(x).</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w:t>
      </w:r>
    </w:p>
    <w:p>
      <w:r>
        <w:rPr>
          <w:b/>
        </w:rPr>
        <w:t>Condition 3 (weight collapse).</w:t>
      </w:r>
      <w:r>
        <w:t xml:space="preserve"> If the risk models return approximately equal values, r_e(x) approximately c(x) for all e, then w_e(x) approximately 1/Q and conditional weighting degenerates to equal averaging. The observable criterion is the normalised weight entropy</w:t>
      </w:r>
    </w:p>
    <w:p>
      <w:pPr>
        <w:jc w:val="center"/>
      </w:pPr>
      <w:r>
        <w:rPr>
          <w:rFonts w:ascii="Cambria Math" w:hAnsi="Cambria Math"/>
          <w:sz w:val="22"/>
        </w:rPr>
        <w:t>H_{norm}(x)=-\frac{1}{\log Q}\sum_{e=1}^{Q} w_e(x)\log w_e(x),</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(three seeds)</w:t>
            </w:r>
          </w:p>
        </w:tc>
        <w:tc>
          <w:tcPr>
            <w:tcW w:type="dxa" w:w="2448"/>
          </w:tcPr>
          <w:p>
            <w:pPr>
              <w:spacing w:after="0"/>
            </w:pPr>
            <w:r>
              <w:rPr>
                <w:sz w:val="16"/>
              </w:rPr>
            </w:r>
            <w:r>
              <w:rPr>
                <w:sz w:val="16"/>
              </w:rPr>
              <w:t>0.887960</w:t>
            </w:r>
          </w:p>
        </w:tc>
        <w:tc>
          <w:tcPr>
            <w:tcW w:type="dxa" w:w="2448"/>
          </w:tcPr>
          <w:p>
            <w:pPr>
              <w:spacing w:after="0"/>
            </w:pPr>
            <w:r>
              <w:rPr>
                <w:sz w:val="16"/>
              </w:rPr>
            </w:r>
            <w:r>
              <w:rPr>
                <w:sz w:val="16"/>
              </w:rPr>
              <w:t>0.888870</w:t>
            </w:r>
          </w:p>
        </w:tc>
        <w:tc>
          <w:tcPr>
            <w:tcW w:type="dxa" w:w="2448"/>
          </w:tcPr>
          <w:p>
            <w:pPr>
              <w:spacing w:after="0"/>
            </w:pPr>
            <w:r>
              <w:rPr>
                <w:sz w:val="16"/>
              </w:rPr>
            </w:r>
            <w:r>
              <w:rPr>
                <w:b/>
                <w:sz w:val="16"/>
              </w:rPr>
              <w:t>+0.00091</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averaged over the three fixed seeds.</w:t>
      </w:r>
    </w:p>
    <w:p>
      <w:r>
        <w:rPr>
          <w:b/>
        </w:rPr>
        <w:t>Table 4. Main results on the two populations (mean of three seeds)</w:t>
      </w:r>
    </w:p>
    <w:p>
      <w:r>
        <w:t>(a) Natural-prior population P_nat, 7,986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0.97792</w:t>
            </w:r>
          </w:p>
        </w:tc>
        <w:tc>
          <w:tcPr>
            <w:tcW w:type="dxa" w:w="1088"/>
          </w:tcPr>
          <w:p>
            <w:pPr>
              <w:spacing w:after="0"/>
            </w:pPr>
            <w:r>
              <w:rPr>
                <w:sz w:val="16"/>
              </w:rPr>
            </w:r>
            <w:r>
              <w:rPr>
                <w:sz w:val="16"/>
              </w:rPr>
              <w:t>0.94920</w:t>
            </w:r>
          </w:p>
        </w:tc>
        <w:tc>
          <w:tcPr>
            <w:tcW w:type="dxa" w:w="1088"/>
          </w:tcPr>
          <w:p>
            <w:pPr>
              <w:spacing w:after="0"/>
            </w:pPr>
            <w:r>
              <w:rPr>
                <w:sz w:val="16"/>
              </w:rPr>
            </w:r>
            <w:r>
              <w:rPr>
                <w:b/>
                <w:sz w:val="16"/>
              </w:rPr>
              <w:t>0.889955</w:t>
            </w:r>
          </w:p>
        </w:tc>
        <w:tc>
          <w:tcPr>
            <w:tcW w:type="dxa" w:w="1088"/>
          </w:tcPr>
          <w:p>
            <w:pPr>
              <w:spacing w:after="0"/>
            </w:pPr>
            <w:r>
              <w:rPr>
                <w:sz w:val="16"/>
              </w:rPr>
            </w:r>
            <w:r>
              <w:rPr>
                <w:b/>
                <w:sz w:val="16"/>
              </w:rPr>
              <w:t>0.05148</w:t>
            </w:r>
          </w:p>
        </w:tc>
        <w:tc>
          <w:tcPr>
            <w:tcW w:type="dxa" w:w="1088"/>
          </w:tcPr>
          <w:p>
            <w:pPr>
              <w:spacing w:after="0"/>
            </w:pPr>
            <w:r>
              <w:rPr>
                <w:sz w:val="16"/>
              </w:rPr>
            </w:r>
            <w:r>
              <w:rPr>
                <w:b/>
                <w:sz w:val="16"/>
              </w:rPr>
              <w:t>0.006312</w:t>
            </w:r>
          </w:p>
        </w:tc>
        <w:tc>
          <w:tcPr>
            <w:tcW w:type="dxa" w:w="1088"/>
          </w:tcPr>
          <w:p>
            <w:pPr>
              <w:spacing w:after="0"/>
            </w:pPr>
            <w:r>
              <w:rPr>
                <w:sz w:val="16"/>
              </w:rPr>
            </w:r>
            <w:r>
              <w:rPr>
                <w:sz w:val="16"/>
              </w:rPr>
              <w:t>0.006605</w:t>
            </w:r>
          </w:p>
        </w:tc>
        <w:tc>
          <w:tcPr>
            <w:tcW w:type="dxa" w:w="1088"/>
          </w:tcPr>
          <w:p>
            <w:pPr>
              <w:spacing w:after="0"/>
            </w:pPr>
            <w:r>
              <w:rPr>
                <w:sz w:val="16"/>
              </w:rPr>
            </w:r>
            <w:r>
              <w:rPr>
                <w:sz w:val="16"/>
              </w:rPr>
              <w:t>61.00</w:t>
            </w:r>
          </w:p>
        </w:tc>
        <w:tc>
          <w:tcPr>
            <w:tcW w:type="dxa" w:w="1088"/>
          </w:tcPr>
          <w:p>
            <w:pPr>
              <w:spacing w:after="0"/>
            </w:pPr>
            <w:r>
              <w:rPr>
                <w:sz w:val="16"/>
              </w:rPr>
            </w:r>
            <w:r>
              <w:rPr>
                <w:sz w:val="16"/>
              </w:rPr>
              <w:t>0.173</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0.97759</w:t>
            </w:r>
          </w:p>
        </w:tc>
        <w:tc>
          <w:tcPr>
            <w:tcW w:type="dxa" w:w="1088"/>
          </w:tcPr>
          <w:p>
            <w:pPr>
              <w:spacing w:after="0"/>
            </w:pPr>
            <w:r>
              <w:rPr>
                <w:sz w:val="16"/>
              </w:rPr>
            </w:r>
            <w:r>
              <w:rPr>
                <w:sz w:val="16"/>
              </w:rPr>
              <w:t>0.94948</w:t>
            </w:r>
          </w:p>
        </w:tc>
        <w:tc>
          <w:tcPr>
            <w:tcW w:type="dxa" w:w="1088"/>
          </w:tcPr>
          <w:p>
            <w:pPr>
              <w:spacing w:after="0"/>
            </w:pPr>
            <w:r>
              <w:rPr>
                <w:sz w:val="16"/>
              </w:rPr>
            </w:r>
            <w:r>
              <w:rPr>
                <w:sz w:val="16"/>
              </w:rPr>
              <w:t>0.888870</w:t>
            </w:r>
          </w:p>
        </w:tc>
        <w:tc>
          <w:tcPr>
            <w:tcW w:type="dxa" w:w="1088"/>
          </w:tcPr>
          <w:p>
            <w:pPr>
              <w:spacing w:after="0"/>
            </w:pPr>
            <w:r>
              <w:rPr>
                <w:sz w:val="16"/>
              </w:rPr>
            </w:r>
            <w:r>
              <w:rPr>
                <w:sz w:val="16"/>
              </w:rPr>
              <w:t>0.05283</w:t>
            </w:r>
          </w:p>
        </w:tc>
        <w:tc>
          <w:tcPr>
            <w:tcW w:type="dxa" w:w="1088"/>
          </w:tcPr>
          <w:p>
            <w:pPr>
              <w:spacing w:after="0"/>
            </w:pPr>
            <w:r>
              <w:rPr>
                <w:sz w:val="16"/>
              </w:rPr>
            </w:r>
            <w:r>
              <w:rPr>
                <w:sz w:val="16"/>
              </w:rPr>
              <w:t>0.006334</w:t>
            </w:r>
          </w:p>
        </w:tc>
        <w:tc>
          <w:tcPr>
            <w:tcW w:type="dxa" w:w="1088"/>
          </w:tcPr>
          <w:p>
            <w:pPr>
              <w:spacing w:after="0"/>
            </w:pPr>
            <w:r>
              <w:rPr>
                <w:sz w:val="16"/>
              </w:rPr>
            </w:r>
            <w:r>
              <w:rPr>
                <w:b/>
                <w:sz w:val="16"/>
              </w:rPr>
              <w:t>0.004442</w:t>
            </w:r>
          </w:p>
        </w:tc>
        <w:tc>
          <w:tcPr>
            <w:tcW w:type="dxa" w:w="1088"/>
          </w:tcPr>
          <w:p>
            <w:pPr>
              <w:spacing w:after="0"/>
            </w:pPr>
            <w:r>
              <w:rPr>
                <w:sz w:val="16"/>
              </w:rPr>
            </w:r>
            <w:r>
              <w:rPr>
                <w:sz w:val="16"/>
              </w:rPr>
              <w:t>0.784</w:t>
            </w:r>
          </w:p>
        </w:tc>
        <w:tc>
          <w:tcPr>
            <w:tcW w:type="dxa" w:w="1088"/>
          </w:tcPr>
          <w:p>
            <w:pPr>
              <w:spacing w:after="0"/>
            </w:pPr>
            <w:r>
              <w:rPr>
                <w:sz w:val="16"/>
              </w:rPr>
            </w:r>
            <w:r>
              <w:rPr>
                <w:sz w:val="16"/>
              </w:rPr>
              <w:t>0.0295</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0.97696</w:t>
            </w:r>
          </w:p>
        </w:tc>
        <w:tc>
          <w:tcPr>
            <w:tcW w:type="dxa" w:w="1088"/>
          </w:tcPr>
          <w:p>
            <w:pPr>
              <w:spacing w:after="0"/>
            </w:pPr>
            <w:r>
              <w:rPr>
                <w:sz w:val="16"/>
              </w:rPr>
            </w:r>
            <w:r>
              <w:rPr>
                <w:sz w:val="16"/>
              </w:rPr>
              <w:t>0.95085</w:t>
            </w:r>
          </w:p>
        </w:tc>
        <w:tc>
          <w:tcPr>
            <w:tcW w:type="dxa" w:w="1088"/>
          </w:tcPr>
          <w:p>
            <w:pPr>
              <w:spacing w:after="0"/>
            </w:pPr>
            <w:r>
              <w:rPr>
                <w:sz w:val="16"/>
              </w:rPr>
            </w:r>
            <w:r>
              <w:rPr>
                <w:sz w:val="16"/>
              </w:rPr>
              <w:t>0.887960</w:t>
            </w:r>
          </w:p>
        </w:tc>
        <w:tc>
          <w:tcPr>
            <w:tcW w:type="dxa" w:w="1088"/>
          </w:tcPr>
          <w:p>
            <w:pPr>
              <w:spacing w:after="0"/>
            </w:pPr>
            <w:r>
              <w:rPr>
                <w:sz w:val="16"/>
              </w:rPr>
            </w:r>
            <w:r>
              <w:rPr>
                <w:sz w:val="16"/>
              </w:rPr>
              <w:t>0.05424</w:t>
            </w:r>
          </w:p>
        </w:tc>
        <w:tc>
          <w:tcPr>
            <w:tcW w:type="dxa" w:w="1088"/>
          </w:tcPr>
          <w:p>
            <w:pPr>
              <w:spacing w:after="0"/>
            </w:pPr>
            <w:r>
              <w:rPr>
                <w:sz w:val="16"/>
              </w:rPr>
            </w:r>
            <w:r>
              <w:rPr>
                <w:sz w:val="16"/>
              </w:rPr>
              <w:t>0.006624</w:t>
            </w:r>
          </w:p>
        </w:tc>
        <w:tc>
          <w:tcPr>
            <w:tcW w:type="dxa" w:w="1088"/>
          </w:tcPr>
          <w:p>
            <w:pPr>
              <w:spacing w:after="0"/>
            </w:pPr>
            <w:r>
              <w:rPr>
                <w:sz w:val="16"/>
              </w:rPr>
            </w:r>
            <w:r>
              <w:rPr>
                <w:sz w:val="16"/>
              </w:rPr>
              <w:t>0.005126</w:t>
            </w:r>
          </w:p>
        </w:tc>
        <w:tc>
          <w:tcPr>
            <w:tcW w:type="dxa" w:w="1088"/>
          </w:tcPr>
          <w:p>
            <w:pPr>
              <w:spacing w:after="0"/>
            </w:pPr>
            <w:r>
              <w:rPr>
                <w:sz w:val="16"/>
              </w:rPr>
            </w:r>
            <w:r>
              <w:rPr>
                <w:sz w:val="16"/>
              </w:rPr>
              <w:t>0.816</w:t>
            </w:r>
          </w:p>
        </w:tc>
        <w:tc>
          <w:tcPr>
            <w:tcW w:type="dxa" w:w="1088"/>
          </w:tcPr>
          <w:p>
            <w:pPr>
              <w:spacing w:after="0"/>
            </w:pPr>
            <w:r>
              <w:rPr>
                <w:sz w:val="16"/>
              </w:rPr>
            </w:r>
            <w:r>
              <w:rPr>
                <w:sz w:val="16"/>
              </w:rPr>
              <w:t>0.0367</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0.96369</w:t>
            </w:r>
          </w:p>
        </w:tc>
        <w:tc>
          <w:tcPr>
            <w:tcW w:type="dxa" w:w="1088"/>
          </w:tcPr>
          <w:p>
            <w:pPr>
              <w:spacing w:after="0"/>
            </w:pPr>
            <w:r>
              <w:rPr>
                <w:sz w:val="16"/>
              </w:rPr>
            </w:r>
            <w:r>
              <w:rPr>
                <w:b/>
                <w:sz w:val="16"/>
              </w:rPr>
              <w:t>0.96173</w:t>
            </w:r>
          </w:p>
        </w:tc>
        <w:tc>
          <w:tcPr>
            <w:tcW w:type="dxa" w:w="1088"/>
          </w:tcPr>
          <w:p>
            <w:pPr>
              <w:spacing w:after="0"/>
            </w:pPr>
            <w:r>
              <w:rPr>
                <w:sz w:val="16"/>
              </w:rPr>
            </w:r>
            <w:r>
              <w:rPr>
                <w:sz w:val="16"/>
              </w:rPr>
              <w:t>0.857713</w:t>
            </w:r>
          </w:p>
        </w:tc>
        <w:tc>
          <w:tcPr>
            <w:tcW w:type="dxa" w:w="1088"/>
          </w:tcPr>
          <w:p>
            <w:pPr>
              <w:spacing w:after="0"/>
            </w:pPr>
            <w:r>
              <w:rPr>
                <w:sz w:val="16"/>
              </w:rPr>
            </w:r>
            <w:r>
              <w:rPr>
                <w:sz w:val="16"/>
              </w:rPr>
              <w:t>0.08903</w:t>
            </w:r>
          </w:p>
        </w:tc>
        <w:tc>
          <w:tcPr>
            <w:tcW w:type="dxa" w:w="1088"/>
          </w:tcPr>
          <w:p>
            <w:pPr>
              <w:spacing w:after="0"/>
            </w:pPr>
            <w:r>
              <w:rPr>
                <w:sz w:val="16"/>
              </w:rPr>
            </w:r>
            <w:r>
              <w:rPr>
                <w:sz w:val="16"/>
              </w:rPr>
              <w:t>0.010849</w:t>
            </w:r>
          </w:p>
        </w:tc>
        <w:tc>
          <w:tcPr>
            <w:tcW w:type="dxa" w:w="1088"/>
          </w:tcPr>
          <w:p>
            <w:pPr>
              <w:spacing w:after="0"/>
            </w:pPr>
            <w:r>
              <w:rPr>
                <w:sz w:val="16"/>
              </w:rPr>
            </w:r>
            <w:r>
              <w:rPr>
                <w:sz w:val="16"/>
              </w:rPr>
              <w:t>0.015791</w:t>
            </w:r>
          </w:p>
        </w:tc>
        <w:tc>
          <w:tcPr>
            <w:tcW w:type="dxa" w:w="1088"/>
          </w:tcPr>
          <w:p>
            <w:pPr>
              <w:spacing w:after="0"/>
            </w:pPr>
            <w:r>
              <w:rPr>
                <w:sz w:val="16"/>
              </w:rPr>
            </w:r>
            <w:r>
              <w:rPr>
                <w:sz w:val="16"/>
              </w:rPr>
              <w:t>0.442</w:t>
            </w:r>
          </w:p>
        </w:tc>
        <w:tc>
          <w:tcPr>
            <w:tcW w:type="dxa" w:w="1088"/>
          </w:tcPr>
          <w:p>
            <w:pPr>
              <w:spacing w:after="0"/>
            </w:pPr>
            <w:r>
              <w:rPr>
                <w:sz w:val="16"/>
              </w:rPr>
            </w:r>
            <w:r>
              <w:rPr>
                <w:sz w:val="16"/>
              </w:rPr>
              <w:t>0.0368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On the natural-prior population RCCF reaches 0.889955 Macro-F1 against 0.888870 for the equal-weight chi-square forest, a mean difference of </w:t>
      </w:r>
      <w:r>
        <w:rPr>
          <w:b/>
        </w:rPr>
        <w:t>+0.001085</w:t>
      </w:r>
      <w:r>
        <w:t xml:space="preserve">. On the balanced control RCCF reaches 0.961807 against 0.963215, i.e. it trails by </w:t>
      </w:r>
      <w:r>
        <w:rPr>
          <w:b/>
        </w:rPr>
        <w:t>-0.001408</w:t>
      </w:r>
      <w:r>
        <w:t>. The signs are opposite across the two populations and both magnitudes are on the order of one thousandth. One baseline is stronger on a different metric: extremely randomised trees obtain the highest balanced accuracy on this population (0.96173 against 0.94920 for RCCF) while obtaining the lowest Macro-F1 (0.857713),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and paired bootstrap intervals</w:t>
      </w:r>
    </w:p>
    <w:p>
      <w:r>
        <w:t>Note that the left panel of Figure 4 starts at 0.75 in order to display differences of one thousandth; the right panel shows that those differences are statistically indistinguishable. The two panels must be read together, not by bar height alone.</w:t>
      </w:r>
    </w:p>
    <w:p>
      <w:r>
        <w:rPr>
          <w:b/>
        </w:rPr>
        <w:t>Second, the paired statistics give a definite equivalence boundary.</w:t>
      </w:r>
      <w:r>
        <w:t xml:space="preserve"> The three seed-level differences are -0.00149, +0.00314 and +0.00160. A paired bootstrap that resamples test rows gives a pooled 90% interval of [-0.00290, +0.00550], which lies entirely inside a pre-specified equivalence margin of SESOI = 0.01 Macro-F1; equivalence can therefore be asserted at alpha = 0.05. The same interval does </w:t>
      </w:r>
      <w:r>
        <w:rPr>
          <w:b/>
        </w:rPr>
        <w:t>not</w:t>
      </w:r>
      <w:r>
        <w:t xml:space="preserve"> fit inside SESOI = 0.005, because its upper bound of 0.0055 exceeds that margin. Per-seed exact McNemar tests give p = 0.508, 0.092 and 0.344, and pooling all 23,958 test rows gives p = 0.215. None is significant. Under the pre-declared decision rule - the difference must be stable, consistent in sign and bounded away from zero - </w:t>
      </w:r>
      <w:r>
        <w:rPr>
          <w:b/>
        </w:rPr>
        <w:t>H2 is not supported</w:t>
      </w:r>
      <w:r>
        <w:t>.</w:t>
      </w:r>
    </w:p>
    <w:p>
      <w:r>
        <w:rPr>
          <w:b/>
        </w:rPr>
        <w:t>Table 5. Paired tests on the natural-prior population (RCCF minus equal-weight chi-square forest)</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Seed</w:t>
            </w:r>
          </w:p>
        </w:tc>
        <w:tc>
          <w:tcPr>
            <w:tcW w:type="dxa" w:w="1958"/>
          </w:tcPr>
          <w:p>
            <w:pPr>
              <w:spacing w:after="0"/>
            </w:pPr>
            <w:r>
              <w:rPr>
                <w:sz w:val="16"/>
              </w:rPr>
            </w:r>
            <w:r>
              <w:rPr>
                <w:b/>
                <w:sz w:val="16"/>
              </w:rPr>
              <w:t>Macro-F1 difference</w:t>
            </w:r>
          </w:p>
        </w:tc>
        <w:tc>
          <w:tcPr>
            <w:tcW w:type="dxa" w:w="1958"/>
          </w:tcPr>
          <w:p>
            <w:pPr>
              <w:spacing w:after="0"/>
            </w:pPr>
            <w:r>
              <w:rPr>
                <w:sz w:val="16"/>
              </w:rPr>
            </w:r>
            <w:r>
              <w:rPr>
                <w:b/>
                <w:sz w:val="16"/>
              </w:rPr>
              <w:t>Paired bootstrap 90% interval</w:t>
            </w:r>
          </w:p>
        </w:tc>
        <w:tc>
          <w:tcPr>
            <w:tcW w:type="dxa" w:w="1958"/>
          </w:tcPr>
          <w:p>
            <w:pPr>
              <w:spacing w:after="0"/>
            </w:pPr>
            <w:r>
              <w:rPr>
                <w:sz w:val="16"/>
              </w:rPr>
            </w:r>
            <w:r>
              <w:rPr>
                <w:b/>
                <w:sz w:val="16"/>
              </w:rPr>
              <w:t>Inside +/- 0.01?</w:t>
            </w:r>
          </w:p>
        </w:tc>
        <w:tc>
          <w:tcPr>
            <w:tcW w:type="dxa" w:w="1958"/>
          </w:tcPr>
          <w:p>
            <w:pPr>
              <w:spacing w:after="0"/>
            </w:pPr>
            <w:r>
              <w:rPr>
                <w:sz w:val="16"/>
              </w:rPr>
            </w:r>
            <w:r>
              <w:rPr>
                <w:b/>
                <w:sz w:val="16"/>
              </w:rPr>
              <w:t>Exact McNemar p</w:t>
            </w:r>
          </w:p>
        </w:tc>
      </w:tr>
      <w:tr>
        <w:tc>
          <w:tcPr>
            <w:tcW w:type="dxa" w:w="1958"/>
          </w:tcPr>
          <w:p>
            <w:pPr>
              <w:spacing w:after="0"/>
            </w:pPr>
            <w:r>
              <w:rPr>
                <w:sz w:val="16"/>
              </w:rPr>
            </w:r>
            <w:r>
              <w:rPr>
                <w:sz w:val="16"/>
              </w:rPr>
              <w:t>42</w:t>
            </w:r>
          </w:p>
        </w:tc>
        <w:tc>
          <w:tcPr>
            <w:tcW w:type="dxa" w:w="1958"/>
          </w:tcPr>
          <w:p>
            <w:pPr>
              <w:spacing w:after="0"/>
            </w:pPr>
            <w:r>
              <w:rPr>
                <w:sz w:val="16"/>
              </w:rPr>
            </w:r>
            <w:r>
              <w:rPr>
                <w:sz w:val="16"/>
              </w:rPr>
              <w:t>-0.001490</w:t>
            </w:r>
          </w:p>
        </w:tc>
        <w:tc>
          <w:tcPr>
            <w:tcW w:type="dxa" w:w="1958"/>
          </w:tcPr>
          <w:p>
            <w:pPr>
              <w:spacing w:after="0"/>
            </w:pPr>
            <w:r>
              <w:rPr>
                <w:sz w:val="16"/>
              </w:rPr>
            </w:r>
            <w:r>
              <w:rPr>
                <w:sz w:val="16"/>
              </w:rPr>
              <w:t>[-0.003823, +0.000580]</w:t>
            </w:r>
          </w:p>
        </w:tc>
        <w:tc>
          <w:tcPr>
            <w:tcW w:type="dxa" w:w="1958"/>
          </w:tcPr>
          <w:p>
            <w:pPr>
              <w:spacing w:after="0"/>
            </w:pPr>
            <w:r>
              <w:rPr>
                <w:sz w:val="16"/>
              </w:rPr>
            </w:r>
            <w:r>
              <w:rPr>
                <w:sz w:val="16"/>
              </w:rPr>
              <w:t>Yes</w:t>
            </w:r>
          </w:p>
        </w:tc>
        <w:tc>
          <w:tcPr>
            <w:tcW w:type="dxa" w:w="1958"/>
          </w:tcPr>
          <w:p>
            <w:pPr>
              <w:spacing w:after="0"/>
            </w:pPr>
            <w:r>
              <w:rPr>
                <w:sz w:val="16"/>
              </w:rPr>
            </w:r>
            <w:r>
              <w:rPr>
                <w:sz w:val="16"/>
              </w:rPr>
              <w:t>0.508</w:t>
            </w:r>
          </w:p>
        </w:tc>
      </w:tr>
      <w:tr>
        <w:tc>
          <w:tcPr>
            <w:tcW w:type="dxa" w:w="1958"/>
          </w:tcPr>
          <w:p>
            <w:pPr>
              <w:spacing w:after="0"/>
            </w:pPr>
            <w:r>
              <w:rPr>
                <w:sz w:val="16"/>
              </w:rPr>
            </w:r>
            <w:r>
              <w:rPr>
                <w:sz w:val="16"/>
              </w:rPr>
              <w:t>2024</w:t>
            </w:r>
          </w:p>
        </w:tc>
        <w:tc>
          <w:tcPr>
            <w:tcW w:type="dxa" w:w="1958"/>
          </w:tcPr>
          <w:p>
            <w:pPr>
              <w:spacing w:after="0"/>
            </w:pPr>
            <w:r>
              <w:rPr>
                <w:sz w:val="16"/>
              </w:rPr>
            </w:r>
            <w:r>
              <w:rPr>
                <w:sz w:val="16"/>
              </w:rPr>
              <w:t>+0.003142</w:t>
            </w:r>
          </w:p>
        </w:tc>
        <w:tc>
          <w:tcPr>
            <w:tcW w:type="dxa" w:w="1958"/>
          </w:tcPr>
          <w:p>
            <w:pPr>
              <w:spacing w:after="0"/>
            </w:pPr>
            <w:r>
              <w:rPr>
                <w:sz w:val="16"/>
              </w:rPr>
            </w:r>
            <w:r>
              <w:rPr>
                <w:sz w:val="16"/>
              </w:rPr>
              <w:t>[-0.000366, +0.006950]</w:t>
            </w:r>
          </w:p>
        </w:tc>
        <w:tc>
          <w:tcPr>
            <w:tcW w:type="dxa" w:w="1958"/>
          </w:tcPr>
          <w:p>
            <w:pPr>
              <w:spacing w:after="0"/>
            </w:pPr>
            <w:r>
              <w:rPr>
                <w:sz w:val="16"/>
              </w:rPr>
            </w:r>
            <w:r>
              <w:rPr>
                <w:sz w:val="16"/>
              </w:rPr>
              <w:t>Yes</w:t>
            </w:r>
          </w:p>
        </w:tc>
        <w:tc>
          <w:tcPr>
            <w:tcW w:type="dxa" w:w="1958"/>
          </w:tcPr>
          <w:p>
            <w:pPr>
              <w:spacing w:after="0"/>
            </w:pPr>
            <w:r>
              <w:rPr>
                <w:sz w:val="16"/>
              </w:rPr>
            </w:r>
            <w:r>
              <w:rPr>
                <w:sz w:val="16"/>
              </w:rPr>
              <w:t>0.092</w:t>
            </w:r>
          </w:p>
        </w:tc>
      </w:tr>
      <w:tr>
        <w:tc>
          <w:tcPr>
            <w:tcW w:type="dxa" w:w="1958"/>
          </w:tcPr>
          <w:p>
            <w:pPr>
              <w:spacing w:after="0"/>
            </w:pPr>
            <w:r>
              <w:rPr>
                <w:sz w:val="16"/>
              </w:rPr>
            </w:r>
            <w:r>
              <w:rPr>
                <w:sz w:val="16"/>
              </w:rPr>
              <w:t>3407</w:t>
            </w:r>
          </w:p>
        </w:tc>
        <w:tc>
          <w:tcPr>
            <w:tcW w:type="dxa" w:w="1958"/>
          </w:tcPr>
          <w:p>
            <w:pPr>
              <w:spacing w:after="0"/>
            </w:pPr>
            <w:r>
              <w:rPr>
                <w:sz w:val="16"/>
              </w:rPr>
            </w:r>
            <w:r>
              <w:rPr>
                <w:sz w:val="16"/>
              </w:rPr>
              <w:t>+0.001602</w:t>
            </w:r>
          </w:p>
        </w:tc>
        <w:tc>
          <w:tcPr>
            <w:tcW w:type="dxa" w:w="1958"/>
          </w:tcPr>
          <w:p>
            <w:pPr>
              <w:spacing w:after="0"/>
            </w:pPr>
            <w:r>
              <w:rPr>
                <w:sz w:val="16"/>
              </w:rPr>
            </w:r>
            <w:r>
              <w:rPr>
                <w:sz w:val="16"/>
              </w:rPr>
              <w:t>[-0.000142, +0.003605]</w:t>
            </w:r>
          </w:p>
        </w:tc>
        <w:tc>
          <w:tcPr>
            <w:tcW w:type="dxa" w:w="1958"/>
          </w:tcPr>
          <w:p>
            <w:pPr>
              <w:spacing w:after="0"/>
            </w:pPr>
            <w:r>
              <w:rPr>
                <w:sz w:val="16"/>
              </w:rPr>
            </w:r>
            <w:r>
              <w:rPr>
                <w:sz w:val="16"/>
              </w:rPr>
              <w:t>Yes</w:t>
            </w:r>
          </w:p>
        </w:tc>
        <w:tc>
          <w:tcPr>
            <w:tcW w:type="dxa" w:w="1958"/>
          </w:tcPr>
          <w:p>
            <w:pPr>
              <w:spacing w:after="0"/>
            </w:pPr>
            <w:r>
              <w:rPr>
                <w:sz w:val="16"/>
              </w:rPr>
            </w:r>
            <w:r>
              <w:rPr>
                <w:sz w:val="16"/>
              </w:rPr>
              <w:t>0.344</w:t>
            </w:r>
          </w:p>
        </w:tc>
      </w:tr>
      <w:tr>
        <w:tc>
          <w:tcPr>
            <w:tcW w:type="dxa" w:w="1958"/>
          </w:tcPr>
          <w:p>
            <w:pPr>
              <w:spacing w:after="0"/>
            </w:pPr>
            <w:r>
              <w:rPr>
                <w:sz w:val="16"/>
              </w:rPr>
            </w:r>
            <w:r>
              <w:rPr>
                <w:sz w:val="16"/>
              </w:rPr>
              <w:t>Pooled (23,958 rows)</w:t>
            </w:r>
          </w:p>
        </w:tc>
        <w:tc>
          <w:tcPr>
            <w:tcW w:type="dxa" w:w="1958"/>
          </w:tcPr>
          <w:p>
            <w:pPr>
              <w:spacing w:after="0"/>
            </w:pPr>
            <w:r>
              <w:rPr>
                <w:sz w:val="16"/>
              </w:rPr>
            </w:r>
            <w:r>
              <w:rPr>
                <w:sz w:val="16"/>
              </w:rPr>
              <w:t>+0.001085</w:t>
            </w:r>
          </w:p>
        </w:tc>
        <w:tc>
          <w:tcPr>
            <w:tcW w:type="dxa" w:w="1958"/>
          </w:tcPr>
          <w:p>
            <w:pPr>
              <w:spacing w:after="0"/>
            </w:pPr>
            <w:r>
              <w:rPr>
                <w:sz w:val="16"/>
              </w:rPr>
            </w:r>
            <w:r>
              <w:rPr>
                <w:sz w:val="16"/>
              </w:rPr>
              <w:t>[-0.002898, +0.005501]</w:t>
            </w:r>
          </w:p>
        </w:tc>
        <w:tc>
          <w:tcPr>
            <w:tcW w:type="dxa" w:w="1958"/>
          </w:tcPr>
          <w:p>
            <w:pPr>
              <w:spacing w:after="0"/>
            </w:pPr>
            <w:r>
              <w:rPr>
                <w:sz w:val="16"/>
              </w:rPr>
            </w:r>
            <w:r>
              <w:rPr>
                <w:sz w:val="16"/>
              </w:rPr>
              <w:t>Yes at 0.01 / No at 0.005</w:t>
            </w:r>
          </w:p>
        </w:tc>
        <w:tc>
          <w:tcPr>
            <w:tcW w:type="dxa" w:w="1958"/>
          </w:tcPr>
          <w:p>
            <w:pPr>
              <w:spacing w:after="0"/>
            </w:pPr>
            <w:r>
              <w:rPr>
                <w:sz w:val="16"/>
              </w:rPr>
            </w:r>
            <w:r>
              <w:rPr>
                <w:sz w:val="16"/>
              </w:rPr>
              <w:t>0.215</w:t>
            </w:r>
          </w:p>
        </w:tc>
      </w:tr>
      <w:tr>
        <w:tc>
          <w:tcPr>
            <w:tcW w:type="dxa" w:w="1958"/>
          </w:tcPr>
          <w:p>
            <w:pPr>
              <w:spacing w:after="0"/>
            </w:pPr>
            <w:r>
              <w:rPr>
                <w:sz w:val="16"/>
              </w:rPr>
            </w:r>
            <w:r>
              <w:rPr>
                <w:sz w:val="16"/>
              </w:rPr>
              <w:t>Control: versus equal RF (all features)</w:t>
            </w:r>
          </w:p>
        </w:tc>
        <w:tc>
          <w:tcPr>
            <w:tcW w:type="dxa" w:w="1958"/>
          </w:tcPr>
          <w:p>
            <w:pPr>
              <w:spacing w:after="0"/>
            </w:pPr>
            <w:r>
              <w:rPr>
                <w:sz w:val="16"/>
              </w:rPr>
            </w:r>
            <w:r>
              <w:rPr>
                <w:sz w:val="16"/>
              </w:rPr>
              <w:t>+0.001995</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b/>
                <w:sz w:val="16"/>
              </w:rPr>
              <w:t>0.00061 (RCCF better)</w:t>
            </w:r>
          </w:p>
        </w:tc>
      </w:tr>
    </w:tbl>
    <w:p>
      <w:pPr>
        <w:spacing w:after="40"/>
      </w:pPr>
    </w:p>
    <w:p>
      <w:r>
        <w:rPr>
          <w:b/>
        </w:rPr>
        <w:t>Third, against the full-feature forest the difference is significant, but no larger than a feature-view choice.</w:t>
      </w:r>
      <w:r>
        <w:t xml:space="preserve"> Compared with an equal-weight full-feature forest, RCCF gains 0.001995 Macro-F1; pooling 23,958 test rows gives an exact McNemar p = 0.00061, with RCCF winning 33 rows and losing 10. The gate therefore does produce a small, directionally consistent advantage, but its magnitude is in the same band as simply swapping the feature view from chi-square to full features (+0.0009 to +0.0022). Combined with a 5.9-fold inference cost, that advantage has no engineering exchange value.</w:t>
      </w:r>
    </w:p>
    <w:p>
      <w:r>
        <w:rPr>
          <w:b/>
        </w:rPr>
        <w:t>Fourth, the cost is certain while the gain is not.</w:t>
      </w:r>
      <w:r>
        <w:t xml:space="preserve"> On the natural-prior protocol RCCF takes 61.0 s to train against 0.78 s for the equal-weight forest, and 0.173 s to predict against 0.0295 s on a whole test batch, about 5.9 times slower. The two ratios measure different quantities and must not be conflated: 5.9 is the batch prediction-time ratio, whereas the single-row P50 latency ratio reported in Section 5.6 is 4.9 (14.62 ms against 2.96 ms). The gap widens on the balanced control: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11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10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 on flow-feature data, "multi-view" experts built from different filter selectors disagree on only 0.2%-0.4% of samples, so the gate is structurally incapable of producing a gain.</w:t>
      </w:r>
      <w:r>
        <w:t xml:space="preserve"> When disagreement is raised to 3%-6% the gate does begin to change predictions and yields a small positive gain, but that gain (+0.003 to +0.004 Macro-F1) remains below the split-to-split variation (standard deviation about 0.011).</w:t>
      </w:r>
    </w:p>
    <w:p>
      <w:pPr>
        <w:pStyle w:val="Heading2"/>
      </w:pPr>
      <w:r>
        <w:t>5.4 RQ3: Protocol effects exceed model effects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6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0.889955 on the natural-prior population, a difference of </w:t>
      </w:r>
      <w:r>
        <w:rPr>
          <w:b/>
        </w:rPr>
        <w:t>+0.0719</w:t>
      </w:r>
      <w:r>
        <w:t>. This is the largest single protocol effect observed in the study and an order of magnitude larger than any model-to-model difference (at most +0.0078).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+0.0011, feature view +0.0009, deduplication order +0.0014 (maximum 0.0060), tuning budget +0.0078 and class prior +0.0719. </w:t>
      </w:r>
      <w:r>
        <w:rPr>
          <w:b/>
        </w:rPr>
        <w:t>H3 is falsified: protocols are not interchangeable, and protocol effects outweigh model effects.</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7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8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(0.05148) and Brier score (0.006312) are better than the equal-weight forest's (0.05283 and 0.006334), but its ECE is worse (0.006605 against 0.004442).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9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 a ratio of roughly 3,500. Measurement 4 formalises this: 99.91% of rows are provably immune under the a priori bound.</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enough to mask every model-to-model difference observed here (at most 0.0078).</w:t>
      </w:r>
    </w:p>
    <w:p>
      <w:pPr>
        <w:pStyle w:val="ListNumber"/>
      </w:pPr>
      <w:r>
        <w:rPr>
          <w:b/>
        </w:rPr>
        <w:t>Protocol choice.</w:t>
      </w:r>
      <w:r>
        <w:t xml:space="preserve"> Changing the class prior from balanced to natural moves Macro-F1 by +0.0719,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On the natural-prior population of CIC-IDS2017, the Macro-F1 difference between conditional weighting and an equal-weight chi-square forest is +0.0011 with a pooled 90% interval of [-0.00290, +0.00550], which is equivalent within a pre-specified margin of 0.01 Macro-F1 but not within 0.005; per-seed McNemar tests are non-significant. The four experts disagree on no test row, and the normalised weight entropy is 0.99998. The cost is a 78-fold increase in training time and a 5.9-fold increase in inference time. Against a full-feature equal forest the gate is significantly better (p = 0.00061),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model effects.</w:t>
      </w:r>
      <w:r>
        <w:t xml:space="preserve"> Within one experiment set, a change of class prior moves Macro-F1 by +0.0719 and a reversal of deduplication order by up to +0.0060, whereas the aggregation strategy moves it by +0.0011. Under a file-level stress test the same model spans 0.3325 to 0.9997. On public intrusion-detection benchmarks, </w:t>
      </w:r>
      <w:r>
        <w:rPr>
          <w:b/>
        </w:rPr>
        <w:t>what protocol is reported therefore determines the conclusion more than which model is used.</w:t>
      </w:r>
    </w:p>
    <w:p>
      <w:r>
        <w:t>The principal contribution is not a new state-of-the-art classifier but a reusable leakage-controlled protocol, a set of falsifiable identifiability boundaries, and a quantitative map that separates protocol effects from model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v1.1.0, tag v1.1.0).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entries marked [DOI to verify] must be checked against Crossref or the publisher page before submission.</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[DOI to verify]</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[DOI to verify]</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 to verify]</w:t>
      </w:r>
    </w:p>
    <w:p>
      <w:pPr>
        <w:pStyle w:val="ListNumber"/>
      </w:pPr>
      <w:r>
        <w:t>Arp D, Quiring E, Pendlebury F, et al. Dos and don'ts of machine learning in computer security. USENIX Security 2022: 3971-3988. [DOI to verify]</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[DOI to verify]</w:t>
      </w:r>
    </w:p>
    <w:p>
      <w:pPr>
        <w:pStyle w:val="ListNumber"/>
      </w:pPr>
      <w:r>
        <w:t>Ovadia Y, Fertig E, Ren J, et al. Can you trust your model's uncertainty? Evaluating predictive uncertainty under dataset shift. NeurIPS 2019: 13991-14002. [DOI to verify]</w:t>
      </w:r>
    </w:p>
    <w:p>
      <w:pPr>
        <w:pStyle w:val="ListNumber"/>
      </w:pPr>
      <w:r>
        <w:t>Lakshminarayanan B, Pritzel A, Blundell C. Simple and scalable predictive uncertainty estimation using deep ensembles. NeurIPS 2017: 6402-6413. [DOI to verify]</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[DOI to verify]</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[DOI to verify]</w:t>
      </w:r>
    </w:p>
    <w:p>
      <w:pPr>
        <w:pStyle w:val="ListNumber"/>
      </w:pPr>
      <w:r>
        <w:t>Holm S. A simple sequentially rejective multiple test procedure. Scandinavian Journal of Statistics, 1979, 6(2): 65-70. [DOI to verify]</w:t>
      </w:r>
    </w:p>
    <w:p>
      <w:pPr>
        <w:pStyle w:val="ListNumber"/>
      </w:pPr>
      <w:r>
        <w:t>Efron B, Tibshirani R J. An Introduction to the Bootstrap. Chapman &amp; Hall/CRC, 1993. [DOI to verify]</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[DOI to verify]</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bl>
    <w:p>
      <w:pPr>
        <w:spacing w:after="40"/>
      </w:pPr>
    </w:p>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