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现代语料阶梯（第 5.8–5.9 节，2026-10-03 批次）</w:t>
      </w:r>
    </w:p>
    <w:p>
      <w:r>
        <w:t xml:space="preserve">这一批不引入新语料，而是把已有语料的使用方式补齐到可审计的程度：规模档位（CIC-IoT-2023 每类 20 万/50 万，Gotham-2025 每类 20 万与不限上限全档）、来源留出（Gotham 逐设备 12/78、6TiSCHSet 逐运行 12/122）、特征预算扫描（k=8/16/32/60）与机制套件（边距上界、权重机制、多样性）。全部十种子，逐样本预测与汇总如下表所列，均由 </w:t>
      </w:r>
      <w:r>
        <w:rPr>
          <w:rFonts w:ascii="Consolas" w:hAnsi="Consolas"/>
        </w:rPr>
        <w:t>scripts/</w:t>
      </w:r>
      <w:r>
        <w:t xml:space="preserve"> 下的脚本重新生成。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产物目录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关键数字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现代语料阶梯（B/C 档 + Gotham 两档）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results_rccf_cic_iot2023_cap{200k,500k}/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results_rccf_gotham2025_{cap200k,full}/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差值 -0.000021 / -0.000004 / +0.000011 / +0.000009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来源留出与机制套件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results_margin_bound_*_v1/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results_weight_mechanism_*_v1/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results_diversity_cic_iot2023_v1/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改判 0/297 180 行、CIC-IoT-2023 12/375 160 行</w:t>
            </w:r>
          </w:p>
        </w:tc>
      </w:tr>
    </w:tbl>
    <w:p>
      <w:pPr>
        <w:spacing w:after="40"/>
      </w:pPr>
    </w:p>
    <w:p>
      <w:r>
        <w:rPr>
          <w:b/>
        </w:rPr>
        <w:t>扩展语料（第 5.8 节，十三项）</w:t>
      </w:r>
    </w:p>
    <w:p>
      <w:r>
        <w:t xml:space="preserve">这十三项与上面四项一样，都在同一套处理与评估协议下运行，只是只用于扩展实验。原始文件与获取清单保存在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>、</w:t>
      </w:r>
      <w:r>
        <w:rPr>
          <w:rFonts w:ascii="Consolas" w:hAnsi="Consolas"/>
        </w:rPr>
        <w:t>scripts/fetch_2026_corpora_v1.py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21027042（Zeek 连接日志，CTU）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MB / 3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33b57c813053eed1…</w:t>
            </w:r>
            <w:r>
              <w:rPr>
                <w:sz w:val="16"/>
              </w:rPr>
              <w:t>（共 3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22113022（6TiSCH 遥测，自带泄漏感知基准）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888.1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9d2bd5d9009df18c…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RTN-traffic-2026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18910837（数据包级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81e307809d1d0dde…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（909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