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 + 17 个语料（含 2025 年发布的四份）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增益与专家多样性同步变化（十五个构造配置上的剂量—反应关系，属相关性证据，非干预实验）：分歧率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ListBullet"/>
      </w:pPr>
      <w:r>
        <w:rPr>
          <w:b/>
        </w:rPr>
        <w:t>语料年代不是结论的前提</w:t>
      </w:r>
      <w:r>
        <w:t>：本文共评测 17 个语料，其中八个发布于 2020 年及以后、四份发布于 2025 年；2025 年语料上门控与同成员等权融合的差值仍在 0.000004-0.000020 量级：UAVIDS-2025（5 类，Macro-F1 0.9450，差 +0.000020）、GeNIS（4 类，Macro-F1 0.9999，差 +0.000000）、IDS2025（7 类，Macro-F1 0.9810，差 +0.000016）、Gotham-2025（18 类，Macro-F1 0.9929，差 +0.000000）。Gotham-2025 另给出全文唯一一个门控为正的案例：视图重合时差值恰为 0.000000，把 16 列拆成 8 列让视图分化后增益 +0.0063（十个种子方向一致）。2026 年新发布的三份语料（CTU-IDSEVAL-6、6TiSCHSet-2026、RTN 数据包表）差值在 -0.000026 到 0.000000 之间。把 2020–2026 年的十二个语料合并起来是 120 个种子级比较，均值 +0.000007、90% 区间 [-0.000006, +0.000020]，仍在 0.005 边界内。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（同一台机器；训练与整批推理为十种子均值，模型体积与吞吐为单种子资源画像 S22）：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；17 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（三个时长版本、逐页讲稿、23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53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