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「代价这边我不打算美化：同等总体下条件加权的训练耗时约是等权森林的 80 倍，全语料 175 倍（单种子约 4.1 小时对 85 秒）；模型体积 4.1 倍，批量吞吐 43064 对 200276 行/秒。开放集上，以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数字：训练快 80–175 倍、模型小 4.1 倍、协议效应高一个数量级。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 项检查；781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22 个问题</w:t>
      </w:r>
    </w:p>
    <w:p>
      <w:r>
        <w:t>前八问每次汇报都会出现；后面十四问按老师追问的方向取用（设计 4、统计 4、数据 3、流程与边界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四个数据集的摘要与字节数都与来源记录逐一核对过（CIC 8 个文件 2 830 743 行、NSL/UNSW 官方划分、N-BaIoT 归档 1 772 922 927 字节），722 个逐样本预测全部公开，仓库带 tag；51 项自动检查每次提交前全绿。</w:t>
      </w:r>
    </w:p>
    <w:p>
      <w:r>
        <w:rPr>
          <w:b/>
        </w:rPr>
        <w:t>Q5：和已有工作有什么不同？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Q6：为什么用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Q7：代价是不是太大？</w:t>
      </w:r>
    </w:p>
    <w:p>
      <w:r>
        <w:t>&gt; 是，这正是结论之一：截断总体训练约 80 倍、全语料 175 倍，模型体积 4.1 倍、批量推理 5 倍，且在误报漏报代价比 1–100 内没有代价敏感优势。</w:t>
      </w:r>
    </w:p>
    <w:p>
      <w:r>
        <w:rPr>
          <w:b/>
        </w:rPr>
        <w:t>Q8：下一步做什么？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Q9：为什么是四个专家，而不是两个或十个？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Q10：权重到底是怎么算出来的？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Q11：门控搜索是不是在测试集上调参？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Q12：为什么不用深度模型做对照？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Q13：为什么用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Q14：逐种子结果一致吗？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Q15：效应量有多小？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Q16：你的结论和「XGBoost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Q17：数据泄漏具体有哪些？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Q18：为什么不用时间切分？</w:t>
      </w:r>
    </w:p>
    <w:p>
      <w:r>
        <w:t>&gt; 四个公开语料都不提供同一测试床上的时间戳，无法构造真正的时间留出集；作为部分替代做了文件级覆盖分析（Macro-F1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Q19：为什么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Q20：N-BaIoT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Q21：审稿人最可能攻击哪三点？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Q22：要复现要多久、要什么机器？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51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不说「生产可用」：四个语料都不含生产流量，也没有同一测试床上的时间分离留出集；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：781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