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Auditable preprocessing separates curation choices from fitted transforms.</w:t>
      </w:r>
    </w:p>
    <w:p>
      <w:pPr>
        <w:pStyle w:val="ListBullet"/>
      </w:pPr>
      <w:r>
        <w:t>Chi-square filtering reduces features with nearly unchanged macro-F1.</w:t>
      </w:r>
    </w:p>
    <w:p>
      <w:pPr>
        <w:pStyle w:val="ListBullet"/>
      </w:pPr>
      <w:r>
        <w:t>Tree weighting matches equal voting under the locked CIC protocol.</w:t>
      </w:r>
    </w:p>
    <w:p>
      <w:pPr>
        <w:pStyle w:val="ListBullet"/>
      </w:pPr>
      <w:r>
        <w:t>Independent datasets reveal strong class-prior and split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