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协议敏感性主导模型选择：面向条件集成加权的泄漏受控网络入侵检测研究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依据样本估计的可靠性权重对多个随机森林专家进行条件加权融合，能够稳定优于等权投票。我们在统一的泄漏受控协议下，于 CIC-IDS2017 上构造两个显式总体——保留观测类别先验的 53 237 条自然先验总体，与每类 673 条的 3 365 条平衡控制总体——并以 NSL-KDD 与 UNSW-NB15 作为独立原生标签基准，在十个种子上比较（平衡控制为三个种子）全特征、卡方、互信息与方差分析四种特征视图，以及风险校准保形森林（Risk-Calibrated Conformal Forest，RCCF）、等权随机森林、极端随机树与 XGBoost。结果表明：在自然先验主协议下，在十个种子上，RCCF 与等权卡方随机森林的 Macro-F1 平均差为 −0.00046，逐种子方向五正五负；种子级 90% 区间 [−0.00112, +0.00021] 与测试行级配对 Bootstrap 区间 [−0.00425, +0.00338] 都落在 SESOI = 0.005 与 0.01 Macro-F1 的等价边界之内，四个专家在测试集上没有任何一条预测分歧；所学权重的归一化熵为 0.99998，几乎退化为均匀权重。作为对照，类别先验由自然改为平衡使 Macro-F1 变化约 +0.072，去重顺序改变带来至多 +0.0060 的差异，而文件级外推使同一模型的 Macro-F1 落在 0.33 至 1.00 之间。我们进一步给出三个可辨识性命题，其中命题 2 被改写为可逐行计算的显式判据：在 23 958 条测试样本上，99.91% 的样本可被证明不受权重影响，实际改判 0 条，决策边距是权重扰动上界的 3469 至 5038 倍。对门控全部 108 种超参数配置的搜索只产生 6 个不同的验证集 Macro-F1 取值（全距 0.00117），排除了调参不足的解释；反向实验表明增益受专家多样性支配：分歧率 0.20% 至 0.36% 的两类专家集合在 6 次运行中增益恰好为零，而分歧率 1.76% 至 6.44% 的三类去相关集合在 9 次运行中增益全部为正，剂量—反应回归斜率 0.0646（Pearson r = 0.749）。结论是：在本研究覆盖的协议与数据范围内，</w:t>
      </w:r>
      <w:r>
        <w:rPr>
          <w:b/>
        </w:rPr>
        <w:t>协议设计而非聚合策略主导了报告差异</w:t>
      </w:r>
      <w:r>
        <w:t>；RCCF 的推理延迟约为等权随机森林的 4.9 倍，其可靠性增益未获证据支持。贡献在于一套可复用的泄漏受控协议、一组可辨识性边界，以及一张把协议效应与模型效应分开量化的失效地图。</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pPr>
      <w:r>
        <w:rPr>
          <w:b/>
        </w:rPr>
        <w:t>一张把协议效应与模型效应分离的定量地图</w:t>
      </w:r>
      <w:r>
        <w:t>。我们在同一批数据上测量四类差异来源并给出量级：聚合策略（0.0005）、特征视图（+0.0021）、类别先验（+0.0725）、去重顺序（至多 +0.0060）、文件外推（0.33–1.00）。结论是协议效应比模型效应高出一个数量级。</w:t>
      </w:r>
    </w:p>
    <w:p>
      <w:pPr>
        <w:pStyle w:val="ListNumber"/>
      </w:pPr>
      <w:r>
        <w:rPr>
          <w:b/>
        </w:rPr>
        <w:t>一个诚实的代价核算</w:t>
      </w:r>
      <w:r>
        <w:t>。报告条件加权相对等权投票的训练与推理开销、概率质量变化、开放集拒绝能力与延迟分布，说明在缺少判别增益的前提下这些代价不具可交换价值。</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模型效应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为把"类别不平衡造成的困难"与"聚合策略的差异"分开，另取每类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三者使用不同的标签体系，其分数因此</w:t>
      </w:r>
      <w:r>
        <w:rPr>
          <w:b/>
        </w:rPr>
        <w:t>不得合并、不得平均、不得解释为迁移成功</w:t>
      </w:r>
      <w:r>
        <w:t>。它们的作用是压力测试：如果某个结论只在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pPr>
      <w:r>
        <w:rPr>
          <w:b/>
        </w:rPr>
        <w:t>变换只在训练侧拟合。</w:t>
      </w:r>
      <w:r>
        <w:t xml:space="preserve"> 标准化器、卡方/互信息/方差分析选择器均在训练分区内拟合，并作为流水线的一部分保存，验证与测试分区只做变换不做拟合。</w:t>
      </w:r>
    </w:p>
    <w:p>
      <w:pPr>
        <w:pStyle w:val="ListNumber"/>
      </w:pPr>
      <w:r>
        <w:rPr>
          <w:b/>
        </w:rPr>
        <w:t>交叉拟合的风险模型。</w:t>
      </w:r>
      <w:r>
        <w:t xml:space="preserve"> 条件加权的风险模型使用 K 折交叉拟合的袋外概率作为输入，折内选择器重新拟合，避免用同一批数据同时训练专家与估计专家可靠性。</w:t>
      </w:r>
    </w:p>
    <w:p>
      <w:pPr>
        <w:pStyle w:val="ListNumber"/>
      </w:pPr>
      <w:r>
        <w:rPr>
          <w:b/>
        </w:rPr>
        <w:t>验证集只用于校准。</w:t>
      </w:r>
      <w:r>
        <w:t xml:space="preserve"> 温度缩放参数与蒙德里安保形阈值只在验证分区上估计，不使用测试标签。</w:t>
      </w:r>
    </w:p>
    <w:p>
      <w:pPr>
        <w:pStyle w:val="ListNumber"/>
      </w:pPr>
      <w:r>
        <w:rPr>
          <w:b/>
        </w:rPr>
        <w:t>测试集锁定。</w:t>
      </w:r>
      <w:r>
        <w:t xml:space="preserve"> 测试分区标签在模型、权重、阈值全部确定之后才被读取，且只用于计算报告指标。</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Macro-F1，在一组预先固定的十个随机种子（42、2024、3407、7、13、101、202、303、404、505）上取平均。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校正，用于多重比较 [37]；（v）等价性检验（TOST）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折交叉拟合得到每个专家的袋外概率，并从中提取三个描述子：置信度（最大类概率）、归一化熵（预测不确定性）、以及前两类的概率边距。这些描述子只使用训练分区内的袋外预测，不接触验证与测试标签。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e，用其袋外概率与描述子拟合一个逻辑回归风险模型 r_e(x)。风险值越高，表示该专家在类似样本上越不可靠。</w:t>
      </w:r>
    </w:p>
    <w:p>
      <w:r>
        <w:rPr>
          <w:b/>
        </w:rPr>
        <w:t>第三步，条件加权与校准。</w:t>
      </w:r>
      <w:r>
        <w:t xml:space="preserve"> 融合权重按下式给出：</w:t>
      </w:r>
    </w:p>
    <w:p>
      <w:pPr>
        <w:jc w:val="center"/>
      </w:pPr>
      <w:r>
        <w:rPr>
          <w:rFonts w:ascii="Cambria Math" w:hAnsi="Cambria Math"/>
          <w:sz w:val="22"/>
        </w:rPr>
        <w:t>w_e(x)=\frac{\exp[-r_e(x)]}{\sum_{j=1}^{Q}\exp[-r_j(x)]},\qquad p(y\mid x)=\sum_{e=1}^{Q} w_e(x)\,p_e(y\mid x).</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chi2,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预测被留出的折，保存袋外概率与不确定性描述子。</w:t>
      </w:r>
    </w:p>
    <w:p>
      <w:pPr>
        <w:spacing w:after="0" w:line="240" w:lineRule="auto"/>
      </w:pPr>
      <w:r>
        <w:rPr>
          <w:rFonts w:ascii="Consolas" w:hAnsi="Consolas"/>
          <w:sz w:val="17"/>
        </w:rPr>
        <w:t>3. 用完整袋外表为每个视图拟合一个逻辑回归风险模型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），有</w:t>
      </w:r>
    </w:p>
    <w:p>
      <w:pPr>
        <w:jc w:val="center"/>
      </w:pPr>
      <w:r>
        <w:rPr>
          <w:rFonts w:ascii="Cambria Math" w:hAnsi="Cambria Math"/>
          <w:sz w:val="22"/>
        </w:rPr>
        <w:t>\left\|p_w-\bar p\right\|_1\ \le\ \sum_{e=1}^{Q}\left|w_e-\frac{1}{Q}\right|\ =:\ \Delta(x).</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w:t>
      </w:r>
      <w:r>
        <w:t xml:space="preserve"> 设风险模型输出近似相等，即 r_e(x) ≈ c(x) 对所有 e 成立，则 w_e(x) ≈ 1/Q，条件加权退化为等权平均。其可观测判据是归一化权重熵趋近于 1：</w:t>
      </w:r>
    </w:p>
    <w:p>
      <w:pPr>
        <w:jc w:val="center"/>
      </w:pPr>
      <w:r>
        <w:rPr>
          <w:rFonts w:ascii="Cambria Math" w:hAnsi="Cambria Math"/>
          <w:sz w:val="22"/>
        </w:rPr>
        <w:t>H_{norm}(x)=-\frac{1}{\log Q}\sum_{e=1}^{Q} w_e(x)\log w_e(x).</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pPr>
      <w:r>
        <w:rPr>
          <w:b/>
        </w:rPr>
        <w:t>等权对照</w:t>
      </w:r>
      <w:r>
        <w:t>：同一特征视图、同一树数、同一随机种子的等权随机森林。这是 H2 的直接对照。</w:t>
      </w:r>
    </w:p>
    <w:p>
      <w:pPr>
        <w:pStyle w:val="ListNumber"/>
      </w:pPr>
      <w:r>
        <w:rPr>
          <w:b/>
        </w:rPr>
        <w:t>特征视图对照</w:t>
      </w:r>
      <w:r>
        <w:t>：全特征、卡方、互信息、方差分析四种视图的等权版本，用于回答 RQ1。</w:t>
      </w:r>
    </w:p>
    <w:p>
      <w:pPr>
        <w:pStyle w:val="ListNumber"/>
      </w:pPr>
      <w:r>
        <w:rPr>
          <w:b/>
        </w:rPr>
        <w:t>树级加权消融</w:t>
      </w:r>
      <w:r>
        <w:t>：按单树验证准确率对树赋权（不依赖样本），用于与样本条件加权区分开。</w:t>
      </w:r>
    </w:p>
    <w:p>
      <w:pPr>
        <w:pStyle w:val="ListNumber"/>
      </w:pPr>
      <w:r>
        <w:rPr>
          <w:b/>
        </w:rPr>
        <w:t>协议对照</w:t>
      </w:r>
      <w:r>
        <w:t>：先划分后训练侧去重、以及两个总体定义，用于回答 RQ3。</w:t>
      </w:r>
    </w:p>
    <w:p>
      <w:pPr>
        <w:pStyle w:val="ListNumber"/>
      </w:pPr>
      <w:r>
        <w:rPr>
          <w:b/>
        </w:rPr>
        <w:t>强基线与预算对照</w:t>
      </w:r>
      <w:r>
        <w:t>：在 5×3 嵌套交叉验证下，对随机森林、极端随机树与 XGBoost 使用相同的模型自选调参流程，用于排除"对照模型未被调优"的可能。</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自然先验总体（10 种子均值）</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给出在自然先验总体与平衡控制总体上的主结果。其中 (a) 为十个种子的均值，(b) 仍为三个种子的平衡控制。</w:t>
      </w:r>
    </w:p>
    <w:p>
      <w:r>
        <w:rPr>
          <w:b/>
        </w:rPr>
        <w:t>表 4 主结果：两个总体上的模型对比</w:t>
      </w:r>
    </w:p>
    <w:p>
      <w:r>
        <w:t>（a）自然先验总体 P_nat，测试集 7 986 条，十种子均值</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模型</w:t>
            </w:r>
          </w:p>
        </w:tc>
        <w:tc>
          <w:tcPr>
            <w:tcW w:type="dxa" w:w="1088"/>
          </w:tcPr>
          <w:p>
            <w:pPr>
              <w:spacing w:after="0"/>
            </w:pPr>
            <w:r>
              <w:rPr>
                <w:sz w:val="16"/>
              </w:rPr>
            </w:r>
            <w:r>
              <w:rPr>
                <w:sz w:val="16"/>
              </w:rPr>
              <w:t>准确率</w:t>
            </w:r>
          </w:p>
        </w:tc>
        <w:tc>
          <w:tcPr>
            <w:tcW w:type="dxa" w:w="1088"/>
          </w:tcPr>
          <w:p>
            <w:pPr>
              <w:spacing w:after="0"/>
            </w:pPr>
            <w:r>
              <w:rPr>
                <w:sz w:val="16"/>
              </w:rPr>
            </w:r>
            <w:r>
              <w:rPr>
                <w:sz w:val="16"/>
              </w:rPr>
              <w:t>平衡准确率</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训练 (s)</w:t>
            </w:r>
          </w:p>
        </w:tc>
        <w:tc>
          <w:tcPr>
            <w:tcW w:type="dxa" w:w="1088"/>
          </w:tcPr>
          <w:p>
            <w:pPr>
              <w:spacing w:after="0"/>
            </w:pPr>
            <w:r>
              <w:rPr>
                <w:sz w:val="16"/>
              </w:rPr>
            </w:r>
            <w:r>
              <w:rPr>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0.84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在自然先验总体上取十个种子的平均，RCCF 的 Macro-F1 为 0.889278，等权卡方森林为 0.889734，平均差 </w:t>
      </w:r>
      <w:r>
        <w:rPr>
          <w:b/>
        </w:rPr>
        <w:t>−0.000456</w:t>
      </w:r>
      <w:r>
        <w:t xml:space="preserve">，逐种子方向为五正五负。在三个种子的平衡控制总体下，RCCF 为 0.961807，等权卡方森林为 0.963215，RCCF 反而落后 </w:t>
      </w:r>
      <w:r>
        <w:rPr>
          <w:b/>
        </w:rPr>
        <w:t>−0.001408</w:t>
      </w:r>
      <w: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r>
        <w:rPr>
          <w:b/>
        </w:rPr>
        <w:t>第二，配对统计在严格边界上也给出等价结论。</w:t>
      </w:r>
      <w: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r>
        <w:rPr>
          <w:b/>
        </w:rPr>
        <w:t>表 5 自然先验总体上的成对统计（十个种子）</w:t>
      </w:r>
    </w:p>
    <w:tbl>
      <w:tblPr>
        <w:tblStyle w:val="TableGrid"/>
        <w:tblW w:type="auto" w:w="0"/>
        <w:tblLook w:firstColumn="1" w:firstRow="1" w:lastColumn="0" w:lastRow="0" w:noHBand="0" w:noVBand="1" w:val="04A0"/>
      </w:tblPr>
      <w:tblGrid>
        <w:gridCol w:w="979"/>
        <w:gridCol w:w="979"/>
        <w:gridCol w:w="979"/>
        <w:gridCol w:w="979"/>
        <w:gridCol w:w="979"/>
        <w:gridCol w:w="979"/>
        <w:gridCol w:w="979"/>
        <w:gridCol w:w="979"/>
        <w:gridCol w:w="979"/>
        <w:gridCol w:w="979"/>
      </w:tblGrid>
      <w:tr>
        <w:tc>
          <w:tcPr>
            <w:tcW w:type="dxa" w:w="979"/>
          </w:tcPr>
          <w:p>
            <w:pPr>
              <w:spacing w:after="0"/>
            </w:pPr>
            <w:r>
              <w:rPr>
                <w:sz w:val="16"/>
              </w:rPr>
            </w:r>
            <w:r>
              <w:rPr>
                <w:b/>
                <w:sz w:val="16"/>
              </w:rPr>
              <w:t>对照</w:t>
            </w:r>
          </w:p>
        </w:tc>
        <w:tc>
          <w:tcPr>
            <w:tcW w:type="dxa" w:w="979"/>
          </w:tcPr>
          <w:p>
            <w:pPr>
              <w:spacing w:after="0"/>
            </w:pPr>
            <w:r>
              <w:rPr>
                <w:sz w:val="16"/>
              </w:rPr>
            </w:r>
            <w:r>
              <w:rPr>
                <w:b/>
                <w:sz w:val="16"/>
              </w:rPr>
              <w:t>平均差</w:t>
            </w:r>
          </w:p>
        </w:tc>
        <w:tc>
          <w:tcPr>
            <w:tcW w:type="dxa" w:w="979"/>
          </w:tcPr>
          <w:p>
            <w:pPr>
              <w:spacing w:after="0"/>
            </w:pPr>
            <w:r>
              <w:rPr>
                <w:sz w:val="16"/>
              </w:rPr>
            </w:r>
            <w:r>
              <w:rPr>
                <w:b/>
                <w:sz w:val="16"/>
              </w:rPr>
              <w:t>标准差</w:t>
            </w:r>
          </w:p>
        </w:tc>
        <w:tc>
          <w:tcPr>
            <w:tcW w:type="dxa" w:w="979"/>
          </w:tcPr>
          <w:p>
            <w:pPr>
              <w:spacing w:after="0"/>
            </w:pPr>
            <w:r>
              <w:rPr>
                <w:sz w:val="16"/>
              </w:rPr>
            </w:r>
            <w:r>
              <w:rPr>
                <w:b/>
                <w:sz w:val="16"/>
              </w:rPr>
              <w:t>种子级 95% 区间</w:t>
            </w:r>
          </w:p>
        </w:tc>
        <w:tc>
          <w:tcPr>
            <w:tcW w:type="dxa" w:w="979"/>
          </w:tcPr>
          <w:p>
            <w:pPr>
              <w:spacing w:after="0"/>
            </w:pPr>
            <w:r>
              <w:rPr>
                <w:sz w:val="16"/>
              </w:rPr>
            </w:r>
            <w:r>
              <w:rPr>
                <w:b/>
                <w:sz w:val="16"/>
              </w:rPr>
              <w:t>种子级 90% 区间</w:t>
            </w:r>
          </w:p>
        </w:tc>
        <w:tc>
          <w:tcPr>
            <w:tcW w:type="dxa" w:w="979"/>
          </w:tcPr>
          <w:p>
            <w:pPr>
              <w:spacing w:after="0"/>
            </w:pPr>
            <w:r>
              <w:rPr>
                <w:sz w:val="16"/>
              </w:rPr>
            </w:r>
            <w:r>
              <w:rPr>
                <w:b/>
                <w:sz w:val="16"/>
              </w:rPr>
              <w:t>SESOI = 0.005</w:t>
            </w:r>
          </w:p>
        </w:tc>
        <w:tc>
          <w:tcPr>
            <w:tcW w:type="dxa" w:w="979"/>
          </w:tcPr>
          <w:p>
            <w:pPr>
              <w:spacing w:after="0"/>
            </w:pPr>
            <w:r>
              <w:rPr>
                <w:sz w:val="16"/>
              </w:rPr>
            </w:r>
            <w:r>
              <w:rPr>
                <w:b/>
                <w:sz w:val="16"/>
              </w:rPr>
              <w:t>SESOI = 0.01</w:t>
            </w:r>
          </w:p>
        </w:tc>
        <w:tc>
          <w:tcPr>
            <w:tcW w:type="dxa" w:w="979"/>
          </w:tcPr>
          <w:p>
            <w:pPr>
              <w:spacing w:after="0"/>
            </w:pPr>
            <w:r>
              <w:rPr>
                <w:sz w:val="16"/>
              </w:rPr>
            </w:r>
            <w:r>
              <w:rPr>
                <w:b/>
                <w:sz w:val="16"/>
              </w:rPr>
              <w:t>最小可检出效应（80% 功效）</w:t>
            </w:r>
          </w:p>
        </w:tc>
        <w:tc>
          <w:tcPr>
            <w:tcW w:type="dxa" w:w="979"/>
          </w:tcPr>
          <w:p>
            <w:pPr>
              <w:spacing w:after="0"/>
            </w:pPr>
            <w:r>
              <w:rPr>
                <w:sz w:val="16"/>
              </w:rPr>
            </w:r>
            <w:r>
              <w:rPr>
                <w:b/>
                <w:sz w:val="16"/>
              </w:rPr>
              <w:t>Cohen's d_z</w:t>
            </w:r>
          </w:p>
        </w:tc>
        <w:tc>
          <w:tcPr>
            <w:tcW w:type="dxa" w:w="979"/>
          </w:tcPr>
          <w:p>
            <w:pPr>
              <w:spacing w:after="0"/>
            </w:pPr>
            <w:r>
              <w:rPr>
                <w:sz w:val="16"/>
              </w:rPr>
            </w:r>
            <w:r>
              <w:rPr>
                <w:b/>
                <w:sz w:val="16"/>
              </w:rPr>
              <w:t>支持 RCCF／基线的种子数</w:t>
            </w:r>
          </w:p>
        </w:tc>
      </w:tr>
      <w:tr>
        <w:tc>
          <w:tcPr>
            <w:tcW w:type="dxa" w:w="979"/>
          </w:tcPr>
          <w:p>
            <w:pPr>
              <w:spacing w:after="0"/>
            </w:pPr>
            <w:r>
              <w:rPr>
                <w:sz w:val="16"/>
              </w:rPr>
            </w:r>
            <w:r>
              <w:rPr>
                <w:sz w:val="16"/>
              </w:rPr>
              <w:t>RCCF − 等权 χ² 森林</w:t>
            </w:r>
          </w:p>
        </w:tc>
        <w:tc>
          <w:tcPr>
            <w:tcW w:type="dxa" w:w="979"/>
          </w:tcPr>
          <w:p>
            <w:pPr>
              <w:spacing w:after="0"/>
            </w:pPr>
            <w:r>
              <w:rPr>
                <w:sz w:val="16"/>
              </w:rPr>
            </w:r>
            <w:r>
              <w:rPr>
                <w:sz w:val="16"/>
              </w:rPr>
              <w:t>−0.000456</w:t>
            </w:r>
          </w:p>
        </w:tc>
        <w:tc>
          <w:tcPr>
            <w:tcW w:type="dxa" w:w="979"/>
          </w:tcPr>
          <w:p>
            <w:pPr>
              <w:spacing w:after="0"/>
            </w:pPr>
            <w:r>
              <w:rPr>
                <w:sz w:val="16"/>
              </w:rPr>
            </w:r>
            <w:r>
              <w:rPr>
                <w:sz w:val="16"/>
              </w:rPr>
              <w:t>0.001152</w:t>
            </w:r>
          </w:p>
        </w:tc>
        <w:tc>
          <w:tcPr>
            <w:tcW w:type="dxa" w:w="979"/>
          </w:tcPr>
          <w:p>
            <w:pPr>
              <w:spacing w:after="0"/>
            </w:pPr>
            <w:r>
              <w:rPr>
                <w:sz w:val="16"/>
              </w:rPr>
            </w:r>
            <w:r>
              <w:rPr>
                <w:sz w:val="16"/>
              </w:rPr>
              <w:t>[−0.001280, +0.000368]</w:t>
            </w:r>
          </w:p>
        </w:tc>
        <w:tc>
          <w:tcPr>
            <w:tcW w:type="dxa" w:w="979"/>
          </w:tcPr>
          <w:p>
            <w:pPr>
              <w:spacing w:after="0"/>
            </w:pPr>
            <w:r>
              <w:rPr>
                <w:sz w:val="16"/>
              </w:rPr>
            </w:r>
            <w:r>
              <w:rPr>
                <w:sz w:val="16"/>
              </w:rPr>
              <w:t>[−0.001124, +0.000212]</w:t>
            </w:r>
          </w:p>
        </w:tc>
        <w:tc>
          <w:tcPr>
            <w:tcW w:type="dxa" w:w="979"/>
          </w:tcPr>
          <w:p>
            <w:pPr>
              <w:spacing w:after="0"/>
            </w:pPr>
            <w:r>
              <w:rPr>
                <w:sz w:val="16"/>
              </w:rPr>
            </w:r>
            <w:r>
              <w:rPr>
                <w:sz w:val="16"/>
              </w:rPr>
              <w:t>等价</w:t>
            </w:r>
          </w:p>
        </w:tc>
        <w:tc>
          <w:tcPr>
            <w:tcW w:type="dxa" w:w="979"/>
          </w:tcPr>
          <w:p>
            <w:pPr>
              <w:spacing w:after="0"/>
            </w:pPr>
            <w:r>
              <w:rPr>
                <w:sz w:val="16"/>
              </w:rPr>
            </w:r>
            <w:r>
              <w:rPr>
                <w:sz w:val="16"/>
              </w:rPr>
              <w:t>等价</w:t>
            </w:r>
          </w:p>
        </w:tc>
        <w:tc>
          <w:tcPr>
            <w:tcW w:type="dxa" w:w="979"/>
          </w:tcPr>
          <w:p>
            <w:pPr>
              <w:spacing w:after="0"/>
            </w:pPr>
            <w:r>
              <w:rPr>
                <w:sz w:val="16"/>
              </w:rPr>
            </w:r>
            <w:r>
              <w:rPr>
                <w:sz w:val="16"/>
              </w:rPr>
              <w:t>0.001146</w:t>
            </w:r>
          </w:p>
        </w:tc>
        <w:tc>
          <w:tcPr>
            <w:tcW w:type="dxa" w:w="979"/>
          </w:tcPr>
          <w:p>
            <w:pPr>
              <w:spacing w:after="0"/>
            </w:pPr>
            <w:r>
              <w:rPr>
                <w:sz w:val="16"/>
              </w:rPr>
            </w:r>
            <w:r>
              <w:rPr>
                <w:sz w:val="16"/>
              </w:rPr>
              <w:t>−0.40</w:t>
            </w:r>
          </w:p>
        </w:tc>
        <w:tc>
          <w:tcPr>
            <w:tcW w:type="dxa" w:w="979"/>
          </w:tcPr>
          <w:p>
            <w:pPr>
              <w:spacing w:after="0"/>
            </w:pPr>
            <w:r>
              <w:rPr>
                <w:sz w:val="16"/>
              </w:rPr>
            </w:r>
            <w:r>
              <w:rPr>
                <w:sz w:val="16"/>
              </w:rPr>
              <w:t>5 / 5</w:t>
            </w:r>
          </w:p>
        </w:tc>
      </w:tr>
      <w:tr>
        <w:tc>
          <w:tcPr>
            <w:tcW w:type="dxa" w:w="979"/>
          </w:tcPr>
          <w:p>
            <w:pPr>
              <w:spacing w:after="0"/>
            </w:pPr>
            <w:r>
              <w:rPr>
                <w:sz w:val="16"/>
              </w:rPr>
            </w:r>
            <w:r>
              <w:rPr>
                <w:sz w:val="16"/>
              </w:rPr>
              <w:t>RCCF − 全特征等权森林</w:t>
            </w:r>
          </w:p>
        </w:tc>
        <w:tc>
          <w:tcPr>
            <w:tcW w:type="dxa" w:w="979"/>
          </w:tcPr>
          <w:p>
            <w:pPr>
              <w:spacing w:after="0"/>
            </w:pPr>
            <w:r>
              <w:rPr>
                <w:sz w:val="16"/>
              </w:rPr>
            </w:r>
            <w:r>
              <w:rPr>
                <w:sz w:val="16"/>
              </w:rPr>
              <w:t>+0.001613</w:t>
            </w:r>
          </w:p>
        </w:tc>
        <w:tc>
          <w:tcPr>
            <w:tcW w:type="dxa" w:w="979"/>
          </w:tcPr>
          <w:p>
            <w:pPr>
              <w:spacing w:after="0"/>
            </w:pPr>
            <w:r>
              <w:rPr>
                <w:sz w:val="16"/>
              </w:rPr>
            </w:r>
            <w:r>
              <w:rPr>
                <w:sz w:val="16"/>
              </w:rPr>
              <w:t>0.001376</w:t>
            </w:r>
          </w:p>
        </w:tc>
        <w:tc>
          <w:tcPr>
            <w:tcW w:type="dxa" w:w="979"/>
          </w:tcPr>
          <w:p>
            <w:pPr>
              <w:spacing w:after="0"/>
            </w:pPr>
            <w:r>
              <w:rPr>
                <w:sz w:val="16"/>
              </w:rPr>
            </w:r>
            <w:r>
              <w:rPr>
                <w:sz w:val="16"/>
              </w:rPr>
              <w:t>[+0.000628, +0.002597]</w:t>
            </w:r>
          </w:p>
        </w:tc>
        <w:tc>
          <w:tcPr>
            <w:tcW w:type="dxa" w:w="979"/>
          </w:tcPr>
          <w:p>
            <w:pPr>
              <w:spacing w:after="0"/>
            </w:pPr>
            <w:r>
              <w:rPr>
                <w:sz w:val="16"/>
              </w:rPr>
            </w:r>
            <w:r>
              <w:rPr>
                <w:sz w:val="16"/>
              </w:rPr>
              <w:t>[+0.000815, +0.002410]</w:t>
            </w:r>
          </w:p>
        </w:tc>
        <w:tc>
          <w:tcPr>
            <w:tcW w:type="dxa" w:w="979"/>
          </w:tcPr>
          <w:p>
            <w:pPr>
              <w:spacing w:after="0"/>
            </w:pPr>
            <w:r>
              <w:rPr>
                <w:sz w:val="16"/>
              </w:rPr>
            </w:r>
            <w:r>
              <w:rPr>
                <w:sz w:val="16"/>
              </w:rPr>
              <w:t>等价</w:t>
            </w:r>
          </w:p>
        </w:tc>
        <w:tc>
          <w:tcPr>
            <w:tcW w:type="dxa" w:w="979"/>
          </w:tcPr>
          <w:p>
            <w:pPr>
              <w:spacing w:after="0"/>
            </w:pPr>
            <w:r>
              <w:rPr>
                <w:sz w:val="16"/>
              </w:rPr>
            </w:r>
            <w:r>
              <w:rPr>
                <w:sz w:val="16"/>
              </w:rPr>
              <w:t>等价</w:t>
            </w:r>
          </w:p>
        </w:tc>
        <w:tc>
          <w:tcPr>
            <w:tcW w:type="dxa" w:w="979"/>
          </w:tcPr>
          <w:p>
            <w:pPr>
              <w:spacing w:after="0"/>
            </w:pPr>
            <w:r>
              <w:rPr>
                <w:sz w:val="16"/>
              </w:rPr>
            </w:r>
            <w:r>
              <w:rPr>
                <w:sz w:val="16"/>
              </w:rPr>
              <w:t>0.001369</w:t>
            </w:r>
          </w:p>
        </w:tc>
        <w:tc>
          <w:tcPr>
            <w:tcW w:type="dxa" w:w="979"/>
          </w:tcPr>
          <w:p>
            <w:pPr>
              <w:spacing w:after="0"/>
            </w:pPr>
            <w:r>
              <w:rPr>
                <w:sz w:val="16"/>
              </w:rPr>
            </w:r>
            <w:r>
              <w:rPr>
                <w:sz w:val="16"/>
              </w:rPr>
              <w:t>+1.17</w:t>
            </w:r>
          </w:p>
        </w:tc>
        <w:tc>
          <w:tcPr>
            <w:tcW w:type="dxa" w:w="979"/>
          </w:tcPr>
          <w:p>
            <w:pPr>
              <w:spacing w:after="0"/>
            </w:pPr>
            <w:r>
              <w:rPr>
                <w:sz w:val="16"/>
              </w:rPr>
            </w:r>
            <w:r>
              <w:rPr>
                <w:sz w:val="16"/>
              </w:rPr>
              <w:t>9 / 1</w:t>
            </w:r>
          </w:p>
        </w:tc>
      </w:tr>
      <w:tr>
        <w:tc>
          <w:tcPr>
            <w:tcW w:type="dxa" w:w="979"/>
          </w:tcPr>
          <w:p>
            <w:pPr>
              <w:spacing w:after="0"/>
            </w:pPr>
            <w:r>
              <w:rPr>
                <w:sz w:val="16"/>
              </w:rPr>
            </w:r>
            <w:r>
              <w:rPr>
                <w:sz w:val="16"/>
              </w:rPr>
              <w:t>RCCF − 极端随机树（χ²）</w:t>
            </w:r>
          </w:p>
        </w:tc>
        <w:tc>
          <w:tcPr>
            <w:tcW w:type="dxa" w:w="979"/>
          </w:tcPr>
          <w:p>
            <w:pPr>
              <w:spacing w:after="0"/>
            </w:pPr>
            <w:r>
              <w:rPr>
                <w:sz w:val="16"/>
              </w:rPr>
            </w:r>
            <w:r>
              <w:rPr>
                <w:sz w:val="16"/>
              </w:rPr>
              <w:t>+0.031788</w:t>
            </w:r>
          </w:p>
        </w:tc>
        <w:tc>
          <w:tcPr>
            <w:tcW w:type="dxa" w:w="979"/>
          </w:tcPr>
          <w:p>
            <w:pPr>
              <w:spacing w:after="0"/>
            </w:pPr>
            <w:r>
              <w:rPr>
                <w:sz w:val="16"/>
              </w:rPr>
            </w:r>
            <w:r>
              <w:rPr>
                <w:sz w:val="16"/>
              </w:rPr>
              <w:t>0.001616</w:t>
            </w:r>
          </w:p>
        </w:tc>
        <w:tc>
          <w:tcPr>
            <w:tcW w:type="dxa" w:w="979"/>
          </w:tcPr>
          <w:p>
            <w:pPr>
              <w:spacing w:after="0"/>
            </w:pPr>
            <w:r>
              <w:rPr>
                <w:sz w:val="16"/>
              </w:rPr>
            </w:r>
            <w:r>
              <w:rPr>
                <w:sz w:val="16"/>
              </w:rPr>
              <w:t>[+0.030632, +0.032944]</w:t>
            </w:r>
          </w:p>
        </w:tc>
        <w:tc>
          <w:tcPr>
            <w:tcW w:type="dxa" w:w="979"/>
          </w:tcPr>
          <w:p>
            <w:pPr>
              <w:spacing w:after="0"/>
            </w:pPr>
            <w:r>
              <w:rPr>
                <w:sz w:val="16"/>
              </w:rPr>
            </w:r>
            <w:r>
              <w:rPr>
                <w:sz w:val="16"/>
              </w:rPr>
              <w:t>[+0.030851, +0.032724]</w:t>
            </w:r>
          </w:p>
        </w:tc>
        <w:tc>
          <w:tcPr>
            <w:tcW w:type="dxa" w:w="979"/>
          </w:tcPr>
          <w:p>
            <w:pPr>
              <w:spacing w:after="0"/>
            </w:pPr>
            <w:r>
              <w:rPr>
                <w:sz w:val="16"/>
              </w:rPr>
            </w:r>
            <w:r>
              <w:rPr>
                <w:sz w:val="16"/>
              </w:rPr>
              <w:t>不等价</w:t>
            </w:r>
          </w:p>
        </w:tc>
        <w:tc>
          <w:tcPr>
            <w:tcW w:type="dxa" w:w="979"/>
          </w:tcPr>
          <w:p>
            <w:pPr>
              <w:spacing w:after="0"/>
            </w:pPr>
            <w:r>
              <w:rPr>
                <w:sz w:val="16"/>
              </w:rPr>
            </w:r>
            <w:r>
              <w:rPr>
                <w:sz w:val="16"/>
              </w:rPr>
              <w:t>不等价</w:t>
            </w:r>
          </w:p>
        </w:tc>
        <w:tc>
          <w:tcPr>
            <w:tcW w:type="dxa" w:w="979"/>
          </w:tcPr>
          <w:p>
            <w:pPr>
              <w:spacing w:after="0"/>
            </w:pPr>
            <w:r>
              <w:rPr>
                <w:sz w:val="16"/>
              </w:rPr>
            </w:r>
            <w:r>
              <w:rPr>
                <w:sz w:val="16"/>
              </w:rPr>
              <w:t>0.001607</w:t>
            </w:r>
          </w:p>
        </w:tc>
        <w:tc>
          <w:tcPr>
            <w:tcW w:type="dxa" w:w="979"/>
          </w:tcPr>
          <w:p>
            <w:pPr>
              <w:spacing w:after="0"/>
            </w:pPr>
            <w:r>
              <w:rPr>
                <w:sz w:val="16"/>
              </w:rPr>
            </w:r>
            <w:r>
              <w:rPr>
                <w:sz w:val="16"/>
              </w:rPr>
              <w:t>+19.68</w:t>
            </w:r>
          </w:p>
        </w:tc>
        <w:tc>
          <w:tcPr>
            <w:tcW w:type="dxa" w:w="979"/>
          </w:tcPr>
          <w:p>
            <w:pPr>
              <w:spacing w:after="0"/>
            </w:pPr>
            <w:r>
              <w:rPr>
                <w:sz w:val="16"/>
              </w:rPr>
            </w:r>
            <w:r>
              <w:rPr>
                <w:sz w:val="16"/>
              </w:rPr>
              <w:t>10 / 0</w:t>
            </w:r>
          </w:p>
        </w:tc>
      </w:tr>
    </w:tbl>
    <w:p>
      <w:pPr>
        <w:spacing w:after="40"/>
      </w:pPr>
    </w:p>
    <w:p>
      <w:r>
        <w:t>以测试行为重采样单元、对同一批十个种子做配对 Bootstrap，得到合并 90% 区间 [−0.004251, +0.003382]，同样落在两个边界之内。</w:t>
      </w:r>
    </w:p>
    <w:p>
      <w:r>
        <w:t>有三行值得说明。</w:t>
      </w:r>
      <w:r>
        <w:rPr>
          <w:b/>
        </w:rPr>
        <w:t>功效</w:t>
      </w:r>
      <w:r>
        <w:t>：在十个种子与实测标准差下，80% 功效可检出的最小差异为 0.00115 至 0.00161 Macro-F1，更小的效应会被漏检——这正是必须显式声明等价边界、而不能用「检验不显著」代替等价结论的原因。</w:t>
      </w:r>
      <w:r>
        <w:rPr>
          <w:b/>
        </w:rPr>
        <w:t>相对全特征森林</w:t>
      </w:r>
      <w:r>
        <w:t>：差异为正且可被统计检出（区间不含零，十个种子中九个支持 RCCF），但幅度 0.0016 仍落在 0.005 的等价边界内，属于「真实但工程上可忽略」；5.4 节进一步显示它与一次特征视图选择同量级。</w:t>
      </w:r>
      <w:r>
        <w:rPr>
          <w:b/>
        </w:rPr>
        <w:t>相对极端随机树</w:t>
      </w:r>
      <w:r>
        <w:t>：差异大且无歧义（d_z = 19.68，十个种子全部支持），是本研究唯一一处实质性的模型间差距。</w:t>
      </w:r>
    </w:p>
    <w:p>
      <w:r>
        <w:rPr>
          <w:b/>
        </w:rPr>
        <w:t>第三，相对全特征等权森林，差异可被检出但量级等于一次特征视图选择。</w:t>
      </w:r>
      <w: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r>
        <w:rPr>
          <w:b/>
        </w:rPr>
        <w:t>第四，代价是确定的，增益不是。</w:t>
      </w:r>
      <w:r>
        <w:t xml:space="preserve"> 自然先验下 RCCF 训练耗时 61.0 秒，等权森林为 0.78 秒；整批推理耗时 0.244 秒对 0.046 秒（约 5.3 倍）；5.6 节报告的单条 P50 延迟之比为 4.9 倍（14.62 ms 对 2.96 ms）。两类口径不同，不应混用。平衡控制下的差距更明显：9.13 秒对 0.45 秒。若把支付这些代价换来的收益写成一句话，只能是「Macro-F1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在两者共有的三个种子上的 0.97792 几乎相同；但其 Macro-F1 仅为 0.797654，比 RCCF 低 0.092，平衡准确率为 0.79666 对 0.94920，Brier 分数为 0.036701 对 0.006312。值得注意的是，两者在总体正确率上的配对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11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 仅熵, 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10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pPr>
        <w:pStyle w:val="Heading2"/>
      </w:pPr>
      <w:r>
        <w:t>5.4 RQ3：协议效应比模型效应大一个数量级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6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0.889278，相差 </w:t>
      </w:r>
      <w:r>
        <w:rPr>
          <w:b/>
        </w:rPr>
        <w:t>+0.0725</w:t>
      </w:r>
      <w:r>
        <w:t>。这是本文观察到的最大单项协议效应，比任何模型间差异（最大 +0.0078）高出一个数量级。其原因是自然先验总体中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把四个量级并列：聚合策略 0.0005、特征视图 +0.0021、去重顺序 +0.0014（最大 0.0060）、类别先验 +0.0725、调参预算 +0.0078。</w:t>
      </w:r>
      <w:r>
        <w:rPr>
          <w:b/>
        </w:rPr>
        <w:t>H3 假设被证伪：协议不可交换，而且协议效应的量级压过模型效应。</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7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8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9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0.003473，而多数样本的类别边距远大于此。</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pPr>
      <w:r>
        <w:rPr>
          <w:b/>
        </w:rPr>
        <w:t>划分噪声</w:t>
      </w:r>
      <w:r>
        <w:t>：十次重复划分的标准差约为 0.011，足以掩盖本文观察到的全部模型间差异（最大 0.0078）。</w:t>
      </w:r>
    </w:p>
    <w:p>
      <w:pPr>
        <w:pStyle w:val="ListNumber"/>
      </w:pPr>
      <w:r>
        <w:rPr>
          <w:b/>
        </w:rPr>
        <w:t>协议选择</w:t>
      </w:r>
      <w:r>
        <w:t>：把类别先验从平衡改为自然，Macro-F1 变化 +0.0719；把去重顺序反过来，至多 +0.0060。</w:t>
      </w:r>
    </w:p>
    <w:p>
      <w:pPr>
        <w:pStyle w:val="ListNumber"/>
      </w:pPr>
      <w:r>
        <w:rPr>
          <w:b/>
        </w:rPr>
        <w:t>调参预算不对等</w:t>
      </w:r>
      <w:r>
        <w:t>：在 5×3 嵌套交叉验证下，被同等调优的 XGBoost 比随机森林高 0.0078，这已超过多数论文所报告的"改进幅度"。</w:t>
      </w:r>
    </w:p>
    <w:p>
      <w:pPr>
        <w:pStyle w:val="ListNumbe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任何关于聚合策略的增益主张，都应当在控制上述四项之后仍然成立，否则应当被表述为协议效应。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pPr>
      <w:r>
        <w:rPr>
          <w:b/>
        </w:rPr>
        <w:t>原始数据计数链</w:t>
      </w:r>
      <w:r>
        <w:t>：从原始记录数到最终研究总体，逐阶段给出剩余与排除数量。</w:t>
      </w:r>
    </w:p>
    <w:p>
      <w:pPr>
        <w:pStyle w:val="ListNumber"/>
      </w:pPr>
      <w:r>
        <w:rPr>
          <w:b/>
        </w:rPr>
        <w:t>去重位置与冲突处理规则</w:t>
      </w:r>
      <w:r>
        <w:t>：明确说明去重发生在划分之前还是之后，以及相同特征向量对应不同标签时的处理方式。</w:t>
      </w:r>
    </w:p>
    <w:p>
      <w:pPr>
        <w:pStyle w:val="ListNumber"/>
      </w:pPr>
      <w:r>
        <w:rPr>
          <w:b/>
        </w:rPr>
        <w:t>变换的拟合边界</w:t>
      </w:r>
      <w:r>
        <w:t>：标准化、特征选择、过采样、超参数搜索各自在哪个分区上拟合。</w:t>
      </w:r>
    </w:p>
    <w:p>
      <w:pPr>
        <w:pStyle w:val="ListNumber"/>
      </w:pPr>
      <w:r>
        <w:rPr>
          <w:b/>
        </w:rPr>
        <w:t>研究总体与目标总体的区分</w:t>
      </w:r>
      <w:r>
        <w:t>：说明使用的研究子集如何被构造，以及它与全语料、与生产流量先验的差距。</w:t>
      </w:r>
    </w:p>
    <w:p>
      <w:pPr>
        <w:pStyle w:val="ListNumber"/>
      </w:pPr>
      <w:r>
        <w:rPr>
          <w:b/>
        </w:rPr>
        <w:t>主指标的明确指定</w:t>
      </w:r>
      <w:r>
        <w:t>：在类别不平衡场景下，预先声明 Macro-F1 或平衡准确率为主指标，准确率仅作参考。</w:t>
      </w:r>
    </w:p>
    <w:p>
      <w:pPr>
        <w:pStyle w:val="ListNumber"/>
      </w:pPr>
      <w:r>
        <w:rPr>
          <w:b/>
        </w:rPr>
        <w:t>配对统计与效应量</w:t>
      </w:r>
      <w:r>
        <w:t>：至少报告配对差、区间估计与多重比较校正；单个点估计不构成证据。</w:t>
      </w:r>
    </w:p>
    <w:p>
      <w:pPr>
        <w:pStyle w:val="ListNumber"/>
      </w:pPr>
      <w:r>
        <w:rPr>
          <w:b/>
        </w:rPr>
        <w:t>次生成本的独立报告</w:t>
      </w:r>
      <w:r>
        <w:t>：概率质量、开放集能力、鲁棒性与延迟应与判别指标分开报告，不与主指标混合成一个"综合得分"。</w:t>
      </w:r>
    </w:p>
    <w:p>
      <w:pPr>
        <w:pStyle w:val="ListNumbe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条。二者都不是 CIC-IDS2017 全语料，更不代表真实网络类别先验。本文所有数值都限定在这两个总体之上。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的自然先验总体上取十个种子的平均，条件加权森林与等权卡方森林的 Macro-F1 平均差为 −0.000456，逐种子方向五正五负；种子级 90% 区间 [−0.00112, +0.00021] 与测试行级配对 Bootstrap 区间 [−0.00425, +0.00338] 都落在 SESOI = 0.005 与 0.01 的等价边界之内。四个专家在测试集上没有任何一条预测分歧，归一化权重熵为 0.99998；命题 2 的显式上界证明 99.91% 的样本不受权重影响，门控 108 种超参数配置只产生 6 个不同的验证集取值。代价则是训练时间增加约 80 倍、整批推理时间增加约 5.3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协议效应主导模型效应。</w:t>
      </w:r>
      <w:r>
        <w:t xml:space="preserve"> 在同一批实验中，类别先验变化带来 +0.0725 的 Macro-F1 差异，去重顺序至多 +0.0060，而聚合策略仅 0.0005。文件级压力测试中，同一模型的 Macro-F1 跨度达 0.3325 至 0.9997。因此，在公开入侵检测数据集上，</w:t>
      </w:r>
      <w:r>
        <w:rPr>
          <w:b/>
        </w:rPr>
        <w:t>报告什么协议比报告什么模型更能决定结论</w:t>
      </w:r>
      <w:r>
        <w:t>。</w:t>
      </w:r>
    </w:p>
    <w:p>
      <w:r>
        <w:t>本文的主要贡献不是一个新的最优分类器，而是一套可复用的泄漏受控协议、一组可证伪的可辨识性边界，以及一张把协议效应与模型效应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v1.1.0，标签 v1.1.0）。原始数据集不随论文分发；论文记录来源地址、检索日期、版本快照与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 xml:space="preserve">说明：以下条目与英文稿完全一致，以保证 </w:t>
      </w:r>
      <w:r>
        <w:rPr>
          <w:rFonts w:ascii="Consolas" w:hAnsi="Consolas"/>
        </w:rPr>
        <w:t>[n]</w:t>
      </w:r>
      <w:r>
        <w:t xml:space="preserve"> 编号在两版中指向同一文献。标注 [DOI 待核验] 的条目需在投稿前用 Crossref 或出版社页面逐条核对。</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[DOI to verify]</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[DOI to verify]</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 to verify]</w:t>
      </w:r>
    </w:p>
    <w:p>
      <w:pPr>
        <w:pStyle w:val="ListNumber"/>
      </w:pPr>
      <w:r>
        <w:t>Arp D, Quiring E, Pendlebury F, et al. Dos and don'ts of machine learning in computer security. USENIX Security 2022: 3971-3988. [DOI to verify]</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[DOI to verify]</w:t>
      </w:r>
    </w:p>
    <w:p>
      <w:pPr>
        <w:pStyle w:val="ListNumber"/>
      </w:pPr>
      <w:r>
        <w:t>Ovadia Y, Fertig E, Ren J, et al. Can you trust your model's uncertainty? Evaluating predictive uncertainty under dataset shift. NeurIPS 2019: 13991-14002. [DOI to verify]</w:t>
      </w:r>
    </w:p>
    <w:p>
      <w:pPr>
        <w:pStyle w:val="ListNumber"/>
      </w:pPr>
      <w:r>
        <w:t>Lakshminarayanan B, Pritzel A, Blundell C. Simple and scalable predictive uncertainty estimation using deep ensembles. NeurIPS 2017: 6402-6413. [DOI to verify]</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[DOI to verify]</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[DOI to verify]</w:t>
      </w:r>
    </w:p>
    <w:p>
      <w:pPr>
        <w:pStyle w:val="ListNumber"/>
      </w:pPr>
      <w:r>
        <w:t>Holm S. A simple sequentially rejective multiple test procedure. Scandinavian Journal of Statistics, 1979, 6(2): 65-70. [DOI to verify]</w:t>
      </w:r>
    </w:p>
    <w:p>
      <w:pPr>
        <w:pStyle w:val="ListNumber"/>
      </w:pPr>
      <w:r>
        <w:t>Efron B, Tibshirani R J. An Introduction to the Bootstrap. Chapman &amp; Hall/CRC, 1993. [DOI to verify]</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[DOI to verify]</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r>
        <w:tc>
          <w:tcPr>
            <w:tcW w:type="dxa" w:w="4896"/>
          </w:tcPr>
          <w:p>
            <w:pPr>
              <w:spacing w:after="0"/>
            </w:pPr>
            <w:r>
              <w:rPr>
                <w:sz w:val="16"/>
              </w:rPr>
            </w:r>
            <w:r>
              <w:rPr>
                <w:sz w:val="16"/>
              </w:rPr>
              <w:t>S20</w:t>
            </w:r>
          </w:p>
        </w:tc>
        <w:tc>
          <w:tcPr>
            <w:tcW w:type="dxa" w:w="4896"/>
          </w:tcPr>
          <w:p>
            <w:pPr>
              <w:spacing w:after="0"/>
            </w:pPr>
            <w:r>
              <w:rPr>
                <w:sz w:val="16"/>
              </w:rPr>
            </w:r>
            <w:r>
              <w:rPr>
                <w:sz w:val="16"/>
              </w:rPr>
              <w:t>十种子主实验、功效分析与标准化效应量</w:t>
            </w:r>
          </w:p>
        </w:tc>
      </w:tr>
    </w:tbl>
    <w:p>
      <w:pPr>
        <w:spacing w:after="40"/>
      </w:pPr>
    </w:p>
    <w:sectPr w:rsidR="00FC693F" w:rsidRPr="0006063C" w:rsidSect="00034616">
      <w:pgSz w:w="12240" w:h="15840"/>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