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r>
        <w:rPr>
          <w:b/>
        </w:rPr>
        <w:t>扩展语料（第 5.8 节，十三项）</w:t>
      </w:r>
    </w:p>
    <w:p>
      <w:r>
        <w:t xml:space="preserve">这十三项与上面四项一样，都在同一套处理与评估协议下运行，只是只用于扩展实验。原始文件与获取清单保存在 </w:t>
      </w:r>
      <w:r>
        <w:rPr>
          <w:rFonts w:ascii="Consolas" w:hAnsi="Consolas"/>
        </w:rPr>
        <w:t>E:\论文\data\external\</w:t>
      </w:r>
      <w:r>
        <w:t xml:space="preserve">，不随包分发；可用 </w:t>
      </w:r>
      <w:r>
        <w:rPr>
          <w:rFonts w:ascii="Consolas" w:hAnsi="Consolas"/>
        </w:rPr>
        <w:t>scripts/fetch_new_corpora_v1.py</w:t>
      </w:r>
      <w:r>
        <w:t>、</w:t>
      </w:r>
      <w:r>
        <w:rPr>
          <w:rFonts w:ascii="Consolas" w:hAnsi="Consolas"/>
        </w:rPr>
        <w:t>scripts/fetch_recent_corpora_v1.py</w:t>
      </w:r>
      <w:r>
        <w:t>、</w:t>
      </w:r>
      <w:r>
        <w:rPr>
          <w:rFonts w:ascii="Consolas" w:hAnsi="Consolas"/>
        </w:rPr>
        <w:t>scripts/fetch_2025_corpora_v1.py</w:t>
      </w:r>
      <w:r>
        <w:t>、</w:t>
      </w:r>
      <w:r>
        <w:rPr>
          <w:rFonts w:ascii="Consolas" w:hAnsi="Consolas"/>
        </w:rPr>
        <w:t>scripts/fetch_gotham2025_v1.py</w:t>
      </w:r>
      <w:r>
        <w:t>、</w:t>
      </w:r>
      <w:r>
        <w:rPr>
          <w:rFonts w:ascii="Consolas" w:hAnsi="Consolas"/>
        </w:rPr>
        <w:t>scripts/fetch_2026_corpora_v1.py</w:t>
      </w:r>
      <w:r>
        <w:t xml:space="preserve"> 重新取得，并与下表的校验值逐字节核对。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本地体积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本地获取日期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c01dsnap/CIC-IDS2018</w:t>
            </w:r>
            <w:r>
              <w:rPr>
                <w:sz w:val="16"/>
              </w:rPr>
              <w:t>（官方 CIC 逐日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6886.6 MB / 10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d96f38e7496aba83…</w:t>
            </w:r>
            <w:r>
              <w:rPr>
                <w:sz w:val="16"/>
              </w:rPr>
              <w:t>（共 10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lacg030175/CIC-IoT-2023-full</w:t>
            </w:r>
            <w:r>
              <w:rPr>
                <w:sz w:val="16"/>
              </w:rPr>
              <w:t>（ML 表镜像）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2125.9 MB / 5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b4ccaf5b4f9bd675…</w:t>
            </w:r>
            <w:r>
              <w:rPr>
                <w:sz w:val="16"/>
              </w:rPr>
              <w:t>（共 5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sukengine/LITNET2020-S0.001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 / 2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2d8e01af4c2ded5b…</w:t>
            </w:r>
            <w:r>
              <w:rPr>
                <w:sz w:val="16"/>
              </w:rPr>
              <w:t>（共 2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19kmunz/iot-23-preprocessed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57c6b6a3e0e6b63c…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michaelmallari/rt-iot2022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956956c09c176458…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knhn1004/aci-iot-2023-processed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467.1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5428f1f0b6c2549c…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15336998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d50d339f68be7b23…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14919237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600.0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50c696a8ccbc4320…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Mendeley Data </w:t>
            </w:r>
            <w:r>
              <w:rPr>
                <w:rFonts w:ascii="Consolas" w:hAnsi="Consolas"/>
                <w:sz w:val="16"/>
              </w:rPr>
              <w:t>pkskt3fv3v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记录页许可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36.9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d9f1d15abb54c80a…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14502760（Gotham 测试床，78 台 IoT 设备，CC BY 4.0）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23825.0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7ca78c0517ccb3d2…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CTU-IDSEVAL-6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21027042（Zeek 连接日志，CTU）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MB / 3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33b57c813053eed1…</w:t>
            </w:r>
            <w:r>
              <w:rPr>
                <w:sz w:val="16"/>
              </w:rPr>
              <w:t>（共 3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6TiSCHSet-2026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22113022（6TiSCH 遥测，自带泄漏感知基准）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888.1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9d2bd5d9009df18c…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RTN-traffic-2026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18910837（数据包级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81e307809d1d0dde…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</w:tbl>
    <w:p>
      <w:pPr>
        <w:spacing w:after="40"/>
      </w:pPr>
    </w:p>
    <w:p>
      <w:r>
        <w:rPr>
          <w:b/>
        </w:rPr>
        <w:t>候选语料与获取状态（2025 年检索）。</w:t>
      </w:r>
      <w:r>
        <w:t xml:space="preserve"> 为回应「语料年代」的质疑，本文另检索了下列更晚发布的候选数据集；它们</w:t>
      </w:r>
      <w:r>
        <w:rPr>
          <w:b/>
        </w:rPr>
        <w:t>尚未进入正文结果</w:t>
      </w:r>
      <w:r>
        <w:t>，此处登记的是检索与获取状态，以免读者以为作者没有检索过：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获取方式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HybRID-18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Sadhana 50:272（Indian Academy of Sciences）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需向作者索取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未公开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论文未附公开仓库、DOI 或校验值，无法核对版本与字节，不满足逐字节复现要求。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CICAPT-IIoT 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CIC（APT 溯源日志 + 网络流量）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经 CIC 在线申请表发放，需提交个人与机构信息；本机无授权下载入口。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DataSense CIC IIoT 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CIC（Electronics 14:4095）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下载表单发放；任务设定为传感器基准，与流特征分类协议不可直接比较。</w:t>
            </w:r>
          </w:p>
        </w:tc>
      </w:tr>
    </w:tbl>
    <w:p>
      <w:pPr>
        <w:spacing w:after="40"/>
      </w:pP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（918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r>
        <w:rPr>
          <w:b/>
        </w:rPr>
        <w:t>现代语料阶梯（第 5.8–5.9 节，2026-10-03 批次）</w:t>
      </w:r>
    </w:p>
    <w:p>
      <w:r>
        <w:t xml:space="preserve">这一批不引入新语料，而是把已有语料的使用方式补齐到可审计的程度：规模档位（CIC-IoT-2023 每类 20 万/50 万，Gotham-2025 每类 20 万与不限上限全档）、来源留出（Gotham 逐设备 12/78、6TiSCHSet 逐运行 12/122）、特征预算扫描（k=8/16/32/60）与机制套件（边距上界、权重机制、多样性）。全部十种子，由 </w:t>
      </w:r>
      <w:r>
        <w:rPr>
          <w:rFonts w:ascii="Consolas" w:hAnsi="Consolas"/>
        </w:rPr>
        <w:t>scripts/</w:t>
      </w:r>
      <w:r>
        <w:t xml:space="preserve"> 下的脚本重新生成。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组件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产物目录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关键数字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现代语料阶梯（B/C 档 + Gotham 两档）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results_rccf_cic_iot2023_cap{200k,500k}/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results_rccf_gotham2025_{cap200k,full}/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差值 -0.000021 / -0.000004 / +0.000011 / +0.000009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来源留出与机制套件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results_source_holdout_*_v1/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results_margin_bound_*_v1/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results_weight_mechanism_*_v1/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results_diversity_cic_iot2023_v1/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 改判 0/297,180 行；逐设备留出均值 0.967127、逐运行留出均值 0.522326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53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