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协议敏感性主导聚合规则差异：面向条件集成加权的泄漏受控网络入侵检测研究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按样本估计的可靠性权重对多个随机森林专家做条件加权融合（RCCF），能否稳定优于等权投票。在统一的泄漏受控协议下，我们用 CIC-IDS2017 构造 53 237 条自然先验总体与 3 365 条平衡控制总体，并以 NSL-KDD 与 UNSW-NB15 作为独立原生标签基准，在十个种子上比较四种特征视图。自然先验协议上，二者 Macro-F1 平均差为 −0.00046，逐种子方向五正五负；种子级 90% 区间 [−0.00112, +0.00021] 与测试行级配对 Bootstrap 区间 [−0.00425, +0.00338] 均落在 0.005 与 0.01 的等价边界内。四个专家在测试集上无任何预测分歧，权重归一化熵为 0.99998；类别先验与去重顺序分别带来 +0.072 与至多 +0.0060 的变化。我们给出三个可辨识性条件，并把其中之一化为可逐行计算的判据：23 958 条测试样本中 99.91% 可证明不受权重影响，决策边距中位数为扰动上界的 3469 至 5038 倍。108 种门控配置只产生 6 个不同的验证集取值，排除了调参不足；增益受专家多样性支配（斜率 0.0646，r = 0.749）。该机制体积是单个等权森林的 4.1 倍、单行慢 4.6 倍，在 1:1 至 100:1 的代价比下没有代价敏感优势。本文的贡献在于一套可复用的泄漏受控协议、一组可辨识性边界，以及一张把协议效应与聚合规则差异分开量化的地图；证据不支持算法优越性或生产可用性的主张。</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尤其关键，因为在文献中它从未被显式声明：它从不被显式声明，却是"某模型在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一张把协议效应与聚合策略差异分离的定量地图</w:t>
      </w:r>
      <w:r>
        <w:t>。我们在同一批数据上测量五类差异来源并给出量级：聚合策略（0.0005）、特征视图（+0.0021）、类别先验（+0.0725）、去重顺序（至多 +0.0060）、文件外推（0.33–1.00）。结论是协议效应比聚合策略差异高出一个数量级。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本文的贡献刻意不是增量式的。在既有基准上再增加一个分类器不会回答任何开放问题——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条件 1 预测本文所用专家集合的增益为零，而反向实验证实了这一预测——并且无论其他作者偏好哪种分类器，都可直接使用。</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聚合规则差异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S01；MD5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三个数据集是刻意互补而非可互相替代的：它们跨越三个采集时期（NSL-KDD 承自 1998 年的数据脉络、UNSW-NB15 为 2015 年合成测试床、CIC-IDS2017 为 2017 年类企业测试床）、三种特征提取方式（41 维连接记录、49 维 Argus/Bro 派生特征、78 维 CICFlowMeter 特征）与三套标签体系（5 类、10 类与 5 类保留标签）。三者的已知缺陷也各不相同：NSL-KDD 带有 KDD 谱系的冗余，UNSW-NB15 的攻击多为人工合成且存在跨划分特征重叠，CIC-IDS2017 则存在重复流、跨标签冲突与恒定列。如果要引入第四个数据集，其最大价值在于覆盖三者都未代表的场景——物联网或工业控制环境、不同的采集观测点，或同一测试床上时间分离的采集。覆盖矩阵见补充材料。</w:t>
      </w:r>
    </w:p>
    <w:p>
      <w:r>
        <w:t>由于标签体系互不相容，三者的分数在本文中从不合并或平均，也从不被解释为迁移成功的证据。它们的作用是压力测试：如果某个结论只在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校正，用于对 RCCF 的三项对照这一比较族 [37]，结果以校正后的符号翻转 p 值列于表 5；（v）等价性检验（TOST）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融合权重与融合后验由式(1)给出：</w:t>
      </w:r>
    </w:p>
    <w:p>
      <w:pPr>
        <w:jc w:val="center"/>
      </w:pPr>
      <w:r>
        <w:rPr>
          <w:rFonts w:ascii="Cambria Math" w:hAnsi="Cambria Math"/>
          <w:sz w:val="22"/>
        </w:rPr>
        <w:t>w_e(x)=\frac{\exp[-r_e(x)]}{\sum_{j=1}^{Q}\exp[-r_j(x)]},\qquad p(y\mid x)=\sum_{e=1}^{Q} w_e(x)\,p_e(y\mid x).  (1)</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），融合后验的位移不超过式(2)的上界：</w:t>
      </w:r>
    </w:p>
    <w:p>
      <w:pPr>
        <w:jc w:val="center"/>
      </w:pPr>
      <w:r>
        <w:rPr>
          <w:rFonts w:ascii="Cambria Math" w:hAnsi="Cambria Math"/>
          <w:sz w:val="22"/>
        </w:rPr>
        <w:t>\left\|p_w-\bar p\right\|_1\ \le\ \sum_{e=1}^{Q}\left|w_e-\frac{1}{Q}\right|\ =:\ \Delta(x).  (2)</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3（权重坍缩，定量形式）</w:t>
      </w:r>
      <w:r>
        <w:t xml:space="preserve"> 记 r_e(x) = r̄(x) + δ_e(x)。由于 log w_e = −r_e + 常数，有 Var(log w) = Var(δ)。将归一化熵在均匀点附近展开，可得二阶恒等式</w:t>
      </w:r>
    </w:p>
    <w:p>
      <w:pPr>
        <w:jc w:val="center"/>
      </w:pPr>
      <w:r>
        <w:rPr>
          <w:rFonts w:ascii="Cambria Math" w:hAnsi="Cambria Math"/>
          <w:sz w:val="22"/>
        </w:rPr>
        <w:t>1-H_{norm}(w)=\frac{Q}{2\log Q}\left\|w-\frac{1}{Q}\mathbf{1}\right\|_2^2,  (3)</w:t>
      </w:r>
    </w:p>
    <w:p>
      <w:r>
        <w:t>以及对 softmax 做一阶展开得到的更简关系</w:t>
      </w:r>
    </w:p>
    <w:p>
      <w:pPr>
        <w:jc w:val="center"/>
      </w:pPr>
      <w:r>
        <w:rPr>
          <w:rFonts w:ascii="Cambria Math" w:hAnsi="Cambria Math"/>
          <w:sz w:val="22"/>
        </w:rPr>
        <w:t>1-H_{norm}(w)\ \approx\ \frac{\mathrm{Var}(\delta)}{2\log Q}.  (4)</w:t>
      </w:r>
    </w:p>
    <w:p>
      <w:r>
        <w:t>式(3)与式(4)都可直接检验。在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0.00022（log-odds），说明几乎每一行上各专家被赋予的可靠性几乎相同。对应的可观测判据是归一化权重熵（式(5)）：</w:t>
      </w:r>
    </w:p>
    <w:p>
      <w:pPr>
        <w:jc w:val="center"/>
      </w:pPr>
      <w:r>
        <w:rPr>
          <w:rFonts w:ascii="Cambria Math" w:hAnsi="Cambria Math"/>
          <w:sz w:val="22"/>
        </w:rPr>
        <w:t>H_{norm}(x)=-\frac{1}{\log Q}\sum_{e=1}^{Q} w_e(x)\log w_e(x).  (5)</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0.75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对照</w:t>
            </w:r>
          </w:p>
        </w:tc>
        <w:tc>
          <w:tcPr>
            <w:tcW w:type="dxa" w:w="890"/>
          </w:tcPr>
          <w:p>
            <w:pPr>
              <w:spacing w:after="0"/>
            </w:pPr>
            <w:r>
              <w:rPr>
                <w:sz w:val="16"/>
              </w:rPr>
            </w:r>
            <w:r>
              <w:rPr>
                <w:b/>
                <w:sz w:val="16"/>
              </w:rPr>
              <w:t>平均差</w:t>
            </w:r>
          </w:p>
        </w:tc>
        <w:tc>
          <w:tcPr>
            <w:tcW w:type="dxa" w:w="890"/>
          </w:tcPr>
          <w:p>
            <w:pPr>
              <w:spacing w:after="0"/>
            </w:pPr>
            <w:r>
              <w:rPr>
                <w:sz w:val="16"/>
              </w:rPr>
            </w:r>
            <w:r>
              <w:rPr>
                <w:b/>
                <w:sz w:val="16"/>
              </w:rPr>
              <w:t>标准差</w:t>
            </w:r>
          </w:p>
        </w:tc>
        <w:tc>
          <w:tcPr>
            <w:tcW w:type="dxa" w:w="890"/>
          </w:tcPr>
          <w:p>
            <w:pPr>
              <w:spacing w:after="0"/>
            </w:pPr>
            <w:r>
              <w:rPr>
                <w:sz w:val="16"/>
              </w:rPr>
            </w:r>
            <w:r>
              <w:rPr>
                <w:b/>
                <w:sz w:val="16"/>
              </w:rPr>
              <w:t>种子级 95% 区间</w:t>
            </w:r>
          </w:p>
        </w:tc>
        <w:tc>
          <w:tcPr>
            <w:tcW w:type="dxa" w:w="890"/>
          </w:tcPr>
          <w:p>
            <w:pPr>
              <w:spacing w:after="0"/>
            </w:pPr>
            <w:r>
              <w:rPr>
                <w:sz w:val="16"/>
              </w:rPr>
            </w:r>
            <w:r>
              <w:rPr>
                <w:b/>
                <w:sz w:val="16"/>
              </w:rPr>
              <w:t>种子级 90% 区间</w:t>
            </w:r>
          </w:p>
        </w:tc>
        <w:tc>
          <w:tcPr>
            <w:tcW w:type="dxa" w:w="890"/>
          </w:tcPr>
          <w:p>
            <w:pPr>
              <w:spacing w:after="0"/>
            </w:pPr>
            <w:r>
              <w:rPr>
                <w:sz w:val="16"/>
              </w:rPr>
            </w:r>
            <w:r>
              <w:rPr>
                <w:b/>
                <w:sz w:val="16"/>
              </w:rPr>
              <w:t>SESOI = 0.005</w:t>
            </w:r>
          </w:p>
        </w:tc>
        <w:tc>
          <w:tcPr>
            <w:tcW w:type="dxa" w:w="890"/>
          </w:tcPr>
          <w:p>
            <w:pPr>
              <w:spacing w:after="0"/>
            </w:pPr>
            <w:r>
              <w:rPr>
                <w:sz w:val="16"/>
              </w:rPr>
            </w:r>
            <w:r>
              <w:rPr>
                <w:b/>
                <w:sz w:val="16"/>
              </w:rPr>
              <w:t>SESOI = 0.01</w:t>
            </w:r>
          </w:p>
        </w:tc>
        <w:tc>
          <w:tcPr>
            <w:tcW w:type="dxa" w:w="890"/>
          </w:tcPr>
          <w:p>
            <w:pPr>
              <w:spacing w:after="0"/>
            </w:pPr>
            <w:r>
              <w:rPr>
                <w:sz w:val="16"/>
              </w:rPr>
            </w:r>
            <w:r>
              <w:rPr>
                <w:b/>
                <w:sz w:val="16"/>
              </w:rPr>
              <w:t>最小可检出效应（80% 功效）</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 校正后符号翻转 p</w:t>
            </w:r>
          </w:p>
        </w:tc>
        <w:tc>
          <w:tcPr>
            <w:tcW w:type="dxa" w:w="890"/>
          </w:tcPr>
          <w:p>
            <w:pPr>
              <w:spacing w:after="0"/>
            </w:pPr>
            <w:r>
              <w:rPr>
                <w:sz w:val="16"/>
              </w:rPr>
            </w:r>
            <w:r>
              <w:rPr>
                <w:b/>
                <w:sz w:val="16"/>
              </w:rPr>
              <w:t>支持 RCCF／基线的种子数</w:t>
            </w:r>
          </w:p>
        </w:tc>
      </w:tr>
      <w:tr>
        <w:tc>
          <w:tcPr>
            <w:tcW w:type="dxa" w:w="890"/>
          </w:tcPr>
          <w:p>
            <w:pPr>
              <w:spacing w:after="0"/>
            </w:pPr>
            <w:r>
              <w:rPr>
                <w:sz w:val="16"/>
              </w:rPr>
            </w:r>
            <w:r>
              <w:rPr>
                <w:sz w:val="16"/>
              </w:rPr>
              <w:t>RCCF − 等权 χ² 森林</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全特征等权森林</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极端随机树（χ²）</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不等价</w:t>
            </w:r>
          </w:p>
        </w:tc>
        <w:tc>
          <w:tcPr>
            <w:tcW w:type="dxa" w:w="890"/>
          </w:tcPr>
          <w:p>
            <w:pPr>
              <w:spacing w:after="0"/>
            </w:pPr>
            <w:r>
              <w:rPr>
                <w:sz w:val="16"/>
              </w:rPr>
            </w:r>
            <w:r>
              <w:rPr>
                <w:sz w:val="16"/>
              </w:rPr>
              <w:t>不等价</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19.68，十个种子全部支持）。它与第五条的神经基线一起，构成本研究仅有的两处实质性模型间差距，而且都来自模型族而非聚合策略。</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在自然先验协议上按表 4(a) 的十个种子取平均，RCCF 训练耗时 93.3 秒，等权森林为 1.16 秒；整批推理耗时 0.244 秒对 0.046 秒，约慢 5.3 倍。该整批比值不应与 5.6 节的单条延迟之比 4.9 混用（14.62 ms 对 2.96 ms）：前者衡量 7 986 行的吞吐，后者衡量单次调用。差距在平衡控制协议上更大：训练 9.13 秒对 0.45 秒。这些代价换来的最好说法是 Macro-F1 变化在 ±0.01 以内。平衡控制下的差距更明显：9.13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6）。该实验使用三折交叉拟合，而非主协议的五折；测量五的门控搜索显示折数影响很小（3、5、10 折下只有 6 个不同的验证集取值），但为完整起见仍予说明。</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RQ3：协议效应比聚合策略差异大一个数量级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。这是本文观察到的最大单项协议效应，大于任何聚合策略差异与调参预算差异（最大 +0.0078），但小于模型族之间的差异（0.0318 与 0.0916）。其原因是自然先验总体中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0.0005、特征视图 +0.0021、去重顺序 +0.0014（最大 0.0060）、类别先验 +0.0725、调参预算 +0.0078。</w:t>
      </w:r>
      <w:r>
        <w:rPr>
          <w:b/>
        </w:rPr>
        <w:t>H3 假设被证伪：协议不可交换，而且协议效应远大于聚合策略之间的差异。</w:t>
      </w:r>
      <w:r>
        <w:t xml:space="preserve"> 需要强调的是，这一排序针对的是聚合策略本身。模型族之间的差异更大：多层感知机比森林低 0.0916 Macro-F1，极端随机树低 0.0318，前者甚至超过类别先验的 0.0725。因此准确的表述是：聚合策略差异被协议选择压过，而模型族差异不会。</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扩展鲁棒性。</w:t>
      </w:r>
      <w:r>
        <w:t xml:space="preserve"> 我们另外考察了三类失效模式，均在三个种子上评测。监督信号被污染相对无害：把训练标签随机翻转 5% 与 10%，条件加权机制的 Macro-F1 相对下降仅 0.57% 与 0.97%，等权森林为 0.77% 与 1.00%。缺失测量更具破坏性——把 10% 的测试特征值替换为训练集中位数，两者分别下降 4.21% 与 4.25%；而标定漂移在三者中最严重：给 20% 的特征列加上训练值域的 1%，两者分别下降 17.23% 与 18.24%。按全部扰动的严重程度排序，</w:t>
      </w:r>
      <w:r>
        <w:rPr>
          <w:b/>
        </w:rPr>
        <w:t>特征值本身的连续污染占主导</w:t>
      </w:r>
      <w:r>
        <w:t>（1% 高斯噪声 43.3%、标定漂移 17–18%、10% 缺失值 4.2%），而监督被污染的危害小一个数量级（0.6–1.0%）。这一排序具有实践意义：数据集批评多聚焦于标签噪声，而对测量漂移关注不足。</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0.003473，而中位类别边距为 1.0，比最大的概率移动还大约三个数量级。测量四给出了形式化判据：在事前上界下，99.91% 的样本可证明不受权重影响，边距与扰动上界的比值中位数为 3469 至 5038 倍。</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0.011，大于本文观察到的全部聚合策略差异与调参预算差异（最大 0.0078），但小于模型族差距 0.0318 与 0.0916。</w:t>
      </w:r>
    </w:p>
    <w:p>
      <w:pPr>
        <w:pStyle w:val="ListNumber"/>
      </w:pPr>
      <w:r>
        <w:rPr>
          <w:b/>
        </w:rPr>
        <w:t>协议选择</w:t>
      </w:r>
      <w:r>
        <w:t>：把类别先验从平衡改为自然，Macro-F1 变化 +0.0725；把去重顺序反过来，至多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协议效应主导聚合策略差异。</w:t>
      </w:r>
      <w:r>
        <w:t xml:space="preserve"> 在同一批实验中，类别先验变化带来 +0.0725 的 Macro-F1 差异，去重顺序至多 +0.0060，而聚合策略仅 0.0005。文件级压力测试中，同一模型的 Macro-F1 跨度达 0.3325 至 0.9997。因此，在公开入侵检测数据集上，</w:t>
      </w:r>
      <w:r>
        <w:rPr>
          <w:b/>
        </w:rPr>
        <w:t>报告什么协议比报告什么聚合策略更能决定结论</w:t>
      </w:r>
      <w:r>
        <w:t>——不过模型族的选择可能比两者都更重要。</w:t>
      </w:r>
    </w:p>
    <w:p>
      <w:r>
        <w:t>本文的主要贡献不是一个新的最优分类器，而是一套可复用的泄漏受控协议、一组可证伪的可辨识性边界，以及一张把协议效应与聚合策略差异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v1.10.0，标签 v1.10.0）。原始数据集不随论文分发；论文记录来源地址、检索日期、版本快照与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[无 DOI；NeurIPS 会议论文集]</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[无 DOI；JMLR]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[无 DOI；USENIX Security 会议论文集]</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[无 DOI；PMLR]</w:t>
      </w:r>
    </w:p>
    <w:p>
      <w:pPr>
        <w:pStyle w:val="ListNumber"/>
      </w:pPr>
      <w:r>
        <w:t>Ovadia Y, Fertig E, Ren J, et al. Can you trust your model's uncertainty? Evaluating predictive uncertainty under dataset shift. NeurIPS 2019: 13991-14002. [无 DOI；NeurIPS 会议论文集]</w:t>
      </w:r>
    </w:p>
    <w:p>
      <w:pPr>
        <w:pStyle w:val="ListNumber"/>
      </w:pPr>
      <w:r>
        <w:t>Lakshminarayanan B, Pritzel A, Blundell C. Simple and scalable predictive uncertainty estimation using deep ensembles. NeurIPS 2017: 6402-6413. [无 DOI；NeurIPS 会议论文集]</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[无 DOI；JMLR]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[无 DOI；JMLR]</w:t>
      </w:r>
    </w:p>
    <w:p>
      <w:pPr>
        <w:pStyle w:val="ListNumber"/>
      </w:pPr>
      <w:r>
        <w:t>Holm S. A simple sequentially rejective multiple test procedure. Scandinavian Journal of Statistics, 1979, 6(2): 65-70. [无 DOI；JSTOR 稳定记录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[无 DOI；JMLR]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S01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S02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S03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S04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S05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S07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S08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S09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r>
        <w:tc>
          <w:tcPr>
            <w:tcW w:type="dxa" w:w="4896"/>
          </w:tcPr>
          <w:p>
            <w:pPr>
              <w:spacing w:after="0"/>
            </w:pPr>
            <w:r>
              <w:rPr>
                <w:sz w:val="16"/>
              </w:rPr>
            </w:r>
            <w:r>
              <w:rPr>
                <w:sz w:val="16"/>
              </w:rPr>
              <w:t>S25</w:t>
            </w:r>
          </w:p>
        </w:tc>
        <w:tc>
          <w:tcPr>
            <w:tcW w:type="dxa" w:w="4896"/>
          </w:tcPr>
          <w:p>
            <w:pPr>
              <w:spacing w:after="0"/>
            </w:pPr>
            <w:r>
              <w:rPr>
                <w:sz w:val="16"/>
              </w:rPr>
            </w:r>
            <w:r>
              <w:rPr>
                <w:sz w:val="16"/>
              </w:rPr>
              <w:t>数据集覆盖矩阵与命题 3 定量验证</w:t>
            </w:r>
          </w:p>
        </w:tc>
      </w:tr>
      <w:tr>
        <w:tc>
          <w:tcPr>
            <w:tcW w:type="dxa" w:w="4896"/>
          </w:tcPr>
          <w:p>
            <w:pPr>
              <w:spacing w:after="0"/>
            </w:pPr>
            <w:r>
              <w:rPr>
                <w:sz w:val="16"/>
              </w:rPr>
            </w:r>
            <w:r>
              <w:rPr>
                <w:sz w:val="16"/>
              </w:rPr>
              <w:t>S26</w:t>
            </w:r>
          </w:p>
        </w:tc>
        <w:tc>
          <w:tcPr>
            <w:tcW w:type="dxa" w:w="4896"/>
          </w:tcPr>
          <w:p>
            <w:pPr>
              <w:spacing w:after="0"/>
            </w:pPr>
            <w:r>
              <w:rPr>
                <w:sz w:val="16"/>
              </w:rPr>
            </w:r>
            <w:r>
              <w:rPr>
                <w:sz w:val="16"/>
              </w:rPr>
              <w:t>扩展鲁棒性：标签噪声、缺失值与标定漂移</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