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67 项检查中 63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：50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中英各 45/45 全覆盖，抽查 21 条零失配；</w:t>
            </w:r>
            <w:r>
              <w:rPr>
                <w:b/>
                <w:sz w:val="16"/>
              </w:rPr>
              <w:t>45 条 DOI 已全部通过 Crossref 核验</w:t>
            </w:r>
            <w:r>
              <w:rPr>
                <w:sz w:val="16"/>
              </w:rPr>
              <w:t>（1 条补全、10 条确认为 PMLR/NeurIPS/JMLR/USENIX 无 DOI 并显式标注），待核验占位符清零（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v1.10.0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两版均含 CRediT 章节，但内容为占位符（待作者填写）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final_config.json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节新增覆盖范围论证（三个采集时期、三种特征提取方式、三套标签体系、各自的已知缺陷），并说明第四个数据集的最大增量价值所在；覆盖矩阵见补充材料 S25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7 表；图 4 图注明确说明纵轴起点 0.75 并提示需与区间面板合读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12,633 词（整篇含参考文献）、11 图、7 主表；中文 35,108 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0.92–0.94；ExtraTrees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507 : 中文 507，集合完全一致；该检查已接入验证闸门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83 字符（上限 85）、公式按 (1)–(5) 顺序编号、图形摘要 3300×2280 像素（下限 1328×531）；该检查已接入验证闸门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v1.10.0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补充材料_S01_S26/</w:t>
      </w:r>
      <w:r>
        <w:t xml:space="preserve">：26 条目、58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118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118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</w:t>
            </w:r>
            <w:r>
              <w:rPr>
                <w:b/>
                <w:sz w:val="16"/>
              </w:rPr>
              <w:t>尚余按 JISA 官方模板排版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：45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67 项检查中 63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署名、单位、通信作者、ORCID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目录内实为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补充材料_S01_S26/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