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0" w:line="360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/>
      </w:r>
    </w:p>
    <w:p>
      <w:pPr>
        <w:spacing w:after="60" w:before="600" w:line="360"/>
        <w:jc w:val="center"/>
      </w:pPr>
      <w:r>
        <w:rPr>
          <w:rFonts w:ascii="KaiTi" w:cs="KaiTi" w:eastAsia="KaiTi" w:hAnsi="KaiTi"/>
          <w:b w:val="false"/>
          <w:bCs w:val="false"/>
          <w:sz w:val="28"/>
          <w:szCs w:val="28"/>
        </w:rPr>
        <w:t xml:space="preserve">中国电子技术标准化研究院</w:t>
      </w:r>
    </w:p>
    <w:p>
      <w:pPr>
        <w:spacing w:after="60" w:before="300" w:line="360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/>
      </w:r>
    </w:p>
    <w:p>
      <w:pPr>
        <w:spacing w:after="60" w:before="200" w:line="36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2022年度节能工作报告</w:t>
      </w:r>
    </w:p>
    <w:p>
      <w:pPr>
        <w:spacing w:after="60" w:before="200" w:line="360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/>
      </w:r>
    </w:p>
    <w:p>
      <w:pPr>
        <w:spacing w:after="60" w:before="200" w:line="360"/>
        <w:jc w:val="center"/>
      </w:pPr>
      <w:r>
        <w:rPr>
          <w:rFonts w:ascii="KaiTi" w:cs="KaiTi" w:eastAsia="KaiTi" w:hAnsi="KaiTi"/>
          <w:b w:val="false"/>
          <w:bCs w:val="false"/>
          <w:sz w:val="26"/>
          <w:szCs w:val="26"/>
        </w:rPr>
        <w:t xml:space="preserve">—— 节约能源资源，推动绿色发展</w:t>
      </w:r>
    </w:p>
    <w:p>
      <w:pPr>
        <w:spacing w:after="60" w:before="1200" w:line="360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/>
      </w:r>
    </w:p>
    <w:p>
      <w:pPr>
        <w:spacing w:after="60" w:before="60" w:line="360"/>
        <w:jc w:val="center"/>
      </w:pPr>
      <w:r>
        <w:rPr>
          <w:rFonts w:ascii="KaiTi" w:cs="KaiTi" w:eastAsia="KaiTi" w:hAnsi="KaiTi"/>
          <w:b w:val="false"/>
          <w:bCs w:val="false"/>
          <w:sz w:val="28"/>
          <w:szCs w:val="28"/>
        </w:rPr>
        <w:t xml:space="preserve">工业和信息化部电子技术标准化研究院</w:t>
      </w:r>
    </w:p>
    <w:p>
      <w:pPr>
        <w:spacing w:after="60" w:before="100" w:line="360"/>
        <w:jc w:val="center"/>
      </w:pPr>
      <w:r>
        <w:rPr>
          <w:rFonts w:ascii="KaiTi" w:cs="KaiTi" w:eastAsia="KaiTi" w:hAnsi="KaiTi"/>
          <w:b w:val="false"/>
          <w:bCs w:val="false"/>
          <w:sz w:val="28"/>
          <w:szCs w:val="28"/>
        </w:rPr>
        <w:t xml:space="preserve">二〇二三年一月</w:t>
      </w:r>
    </w:p>
    <w:p>
      <w:r>
        <w:br w:type="page"/>
      </w:r>
    </w:p>
    <w:p>
      <w:pPr>
        <w:spacing w:after="160" w:before="300" w:line="360"/>
        <w:jc w:val="left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一、前言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2022年，我院深入贯彻落实党中央、国务院关于节能减排工作的决策部署，按照工业和信息化部系统公共机构节约能源资源工作安排，坚持以绿色发展理念为引领，持续推进节约型公共机构建设。在院党委的坚强领导下，后勤管理处紧紧围绕年度节能工作目标，强化精细管理，完善制度体系，加大技改投入，广泛开展宣传教育，全院能源资源利用效率稳步提升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本报告全面总结我院2022年度节能工作开展情况、能源资源消费数据及主要措施，分析存在的问题，提出2023年工作计划。报告涵盖安定门院区（含雍和宫）和亦庄院区两个办公区域，建筑面积总计约53,573平方米。</w:t>
      </w:r>
    </w:p>
    <w:p>
      <w:pPr>
        <w:spacing w:after="160" w:before="300" w:line="360"/>
        <w:jc w:val="left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二、2022年度能源资源消费情况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（一）总体情况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2022年，我院共消耗电力9,616,790千瓦时，用水27,985吨，天然气40,291立方米，汽油2,466升。综合能源消费总量折合标准煤约3,100吨标煤。全年能源费用支出合计约910万元。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17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2021年</w:t>
            </w:r>
          </w:p>
        </w:tc>
        <w:tc>
          <w:tcPr>
            <w:tcW w:type="dxa" w:w="17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2022年</w:t>
            </w:r>
          </w:p>
        </w:tc>
        <w:tc>
          <w:tcPr>
            <w:tcW w:type="dxa" w:w="14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同比增减</w:t>
            </w:r>
          </w:p>
        </w:tc>
        <w:tc>
          <w:tcPr>
            <w:tcW w:type="dxa" w:w="20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电力 (kWh)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8,657,110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9,616,790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+11.1%</w:t>
            </w:r>
          </w:p>
        </w:tc>
        <w:tc>
          <w:tcPr>
            <w:tcW w:type="dxa" w:w="20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含充电桩用电52.3万kWh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水 (吨)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27,657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27,985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+1.2%</w:t>
            </w:r>
          </w:p>
        </w:tc>
        <w:tc>
          <w:tcPr>
            <w:tcW w:type="dxa" w:w="20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含食堂用水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天然气 (m³)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15,200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40,291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+165.1%</w:t>
            </w:r>
          </w:p>
        </w:tc>
        <w:tc>
          <w:tcPr>
            <w:tcW w:type="dxa" w:w="20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安定门食堂2022年开通天然气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汽油 (升)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2,536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2,466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-2.8%</w:t>
            </w:r>
          </w:p>
        </w:tc>
        <w:tc>
          <w:tcPr>
            <w:tcW w:type="dxa" w:w="20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公务用车油耗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能源费用 (万元)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约912</w:t>
            </w:r>
          </w:p>
        </w:tc>
        <w:tc>
          <w:tcPr>
            <w:tcW w:type="dxa" w:w="17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约910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-0.2%</w:t>
            </w:r>
          </w:p>
        </w:tc>
        <w:tc>
          <w:tcPr>
            <w:tcW w:type="dxa" w:w="20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综合能源费用</w:t>
            </w:r>
          </w:p>
        </w:tc>
      </w:tr>
    </w:tbl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（二）分校区用电情况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安定门院区（含雍和宫）全年用电2,797,534千瓦时，占全院用电总量的29.1%；亦庄院区全年用电6,296,716千瓦时，占65.5%；充电桩全年用电522,540千瓦时，占5.4%。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校区</w:t>
            </w:r>
          </w:p>
        </w:tc>
        <w:tc>
          <w:tcPr>
            <w:tcW w:type="dxa" w:w="24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用电量 (kWh)</w:t>
            </w:r>
          </w:p>
        </w:tc>
        <w:tc>
          <w:tcPr>
            <w:tcW w:type="dxa" w:w="1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占比</w:t>
            </w:r>
          </w:p>
        </w:tc>
        <w:tc>
          <w:tcPr>
            <w:tcW w:type="dxa" w:w="1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同比增减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安定门院区 (含雍和宫)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2,797,534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29.1%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+2.5%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亦庄院区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6,296,716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65.5%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+13.6%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充电桩 (12台)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522,540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5.4%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9,616,790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+11.1%</w:t>
            </w:r>
          </w:p>
        </w:tc>
      </w:tr>
    </w:tbl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（三）分校区用水情况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安定门院区全年用水11,323吨，亦庄院区全年用水16,662吨。亦庄院区用水量较大，占全院用水总量的60%。2022年用水单价：安定门9.5元/吨，亦庄9元/吨。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校区</w:t>
            </w:r>
          </w:p>
        </w:tc>
        <w:tc>
          <w:tcPr>
            <w:tcW w:type="dxa" w:w="24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用水量 (吨)</w:t>
            </w:r>
          </w:p>
        </w:tc>
        <w:tc>
          <w:tcPr>
            <w:tcW w:type="dxa" w:w="1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占比</w:t>
            </w:r>
          </w:p>
        </w:tc>
        <w:tc>
          <w:tcPr>
            <w:tcW w:type="dxa" w:w="1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水费 (元)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安定门院区 (含雍和宫)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11,323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40.5%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约107,569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亦庄院区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16,662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59.5%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约149,958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27,985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约257,527</w:t>
            </w:r>
          </w:p>
        </w:tc>
      </w:tr>
    </w:tbl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（四）月度用电数据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全年用电呈现明显的季节性波动特征：冬季（1-2月）和夏季（5月、7-8月）为用电高峰，主要由供暖和空调制冷驱动；3-4月、9-10月为用电低谷。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2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用电量 (kWh)</w:t>
            </w:r>
          </w:p>
        </w:tc>
        <w:tc>
          <w:tcPr>
            <w:tcW w:type="dxa" w:w="21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2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用电量 (kWh)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1,439,820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7月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986,890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1,577,196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8月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971,510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877,520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900,200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1,041,520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10月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704,520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5月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1,392,090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11月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747,250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6月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798,090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12月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977,718</w:t>
            </w:r>
          </w:p>
        </w:tc>
      </w:tr>
    </w:tbl>
    <w:p>
      <w:pPr>
        <w:spacing w:after="60" w:before="120" w:line="360"/>
        <w:jc w:val="left"/>
      </w:pPr>
      <w:r>
        <w:rPr>
          <w:rFonts w:ascii="KaiTi" w:cs="KaiTi" w:eastAsia="KaiTi" w:hAnsi="KaiTi"/>
          <w:b w:val="false"/>
          <w:bCs w:val="false"/>
          <w:sz w:val="22"/>
          <w:szCs w:val="22"/>
        </w:rPr>
        <w:t xml:space="preserve">注：全年月均用电801,399千瓦时。2月用电峰值1,577,196千瓦时系寒假期间实验室运转及供暖用电叠加所致。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（五）月度用水数据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2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用水量 (吨)</w:t>
            </w:r>
          </w:p>
        </w:tc>
        <w:tc>
          <w:tcPr>
            <w:tcW w:type="dxa" w:w="21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2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用水量 (吨)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3,220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7月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4,387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2,177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8月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3,971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2,818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3,907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3,087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10月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3,202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5月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3,642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11月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2,839</w:t>
            </w:r>
          </w:p>
        </w:tc>
      </w:tr>
      <w:tr>
        <w:trPr>
          <w:tblHeader w:val="false"/>
        </w:trPr>
        <w:tc>
          <w:tcPr>
            <w:tcW w:type="dxa" w:w="21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6月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3,036</w:t>
            </w:r>
          </w:p>
        </w:tc>
        <w:tc>
          <w:tcPr>
            <w:tcW w:type="dxa" w:w="21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12月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3,022</w:t>
            </w:r>
          </w:p>
        </w:tc>
      </w:tr>
    </w:tbl>
    <w:p>
      <w:pPr>
        <w:spacing w:after="60" w:before="120" w:line="360"/>
        <w:jc w:val="left"/>
      </w:pPr>
      <w:r>
        <w:rPr>
          <w:rFonts w:ascii="KaiTi" w:cs="KaiTi" w:eastAsia="KaiTi" w:hAnsi="KaiTi"/>
          <w:b w:val="false"/>
          <w:bCs w:val="false"/>
          <w:sz w:val="22"/>
          <w:szCs w:val="22"/>
        </w:rPr>
        <w:t xml:space="preserve">注：全年月均用水2,332吨。7月用水量最高（4,387吨），主要受夏季绿化灌溉及空调补水影响。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（六）食堂用能情况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2022年度安定门院区食堂开通管道天然气，结束液化气瓶使用历史，全年用气25,083立方米。亦庄院区食堂全年用气15,208立方米。两食堂合计用气40,291立方米，月均约3,358立方米。食堂全面推行「光盘行动」，厨余垃圾量较2021年减少约15%。</w:t>
      </w:r>
    </w:p>
    <w:p>
      <w:pPr>
        <w:spacing w:after="160" w:before="300" w:line="360"/>
        <w:jc w:val="left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三、2022年度节能主要工作与成效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（一）完善制度体系，压实节能责任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一是建立健全能源管理制度。制定并印发《院能源管理岗位职责》《能耗统计上报管理办法》，明确能源管理统计专责岗位，理顺数据采集、审核、上报流程。全年按季度向工信部机关服务局节能处报送能耗数据，数据完整率、及时率均为100%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二是强化目标考核。将年度用能指标分解到各院区、各部门，纳入年度考核体系。2022年我院用水指标为29,890吨，实际用水27,985吨，未超指标；用电指标为9,617,900千瓦时，实际用电9,616,790千瓦时，严格控制在指标范围内。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（二）加快设施改造，提升用能效率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一是完成充电基础设施建设。全年在两地院区新增12台7kW单枪交流充电桩（安定门4台，亦庄8台），总投资约4.35万元。充电桩全年运行正常，累计充电52.3万千瓦时，有效满足了职工新能源车充电需求，同步促进了绿色出行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二是推进照明节能改造。对办公楼公共区域实施LED照明改造，更换LED灯具约200套，年节电约3万千瓦时。安装声光控感应开关，杜绝「长明灯」现象。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三是实施节水改造。安装感应式水龙头40余套，修复老旧管道漏水点8处。亦庄院区绿化灌溉采用滴灌和喷灌技术，节约绿化用水约20%。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（三）建设能耗监管平台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2022年启动节能监管平台一期建设，完成两地院区电表改造图纸设计。项目涵盖A、B、C、D、E五座楼宇的智能电表安装方案，为实现分项计量、在线监测和数据分析奠定基础。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（四）强化公务用车管理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严格落实公务用车「一车一账」制度，实行派车审批、里程登记、油耗核算全流程管理。2022年公务用车累计行驶约55,000公里，耗油2,466升，百公里油耗约4.5升，较2021年（2,536升）下降2.8%。每月召开交通安全例会，全年无交通安全事故。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（五）广泛开展节能宣传教育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一是积极参加上级主管部门组织的会议和培训。4月22日参加工信部系统公共机构2022年节约能源资源工作会议；全年参加国家机关事务管理局组织的线上节能管理培训3人次。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二是组织开展2022年全国节能宣传周和全国低碳日活动（8月23-29日）。利用楼宇电视、LED屏滚动播放节能宣传标语和海报，发放节能宣传手册200余份，组织「低碳出行」「光盘行动」等主题活动。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三是参加2022年全国公共机构节能宣传周「云课堂」学习，全院400余名职工在线观看。</w:t>
      </w:r>
    </w:p>
    <w:p>
      <w:pPr>
        <w:spacing w:after="160" w:before="300" w:line="360"/>
        <w:jc w:val="left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四、存在的困难与问题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（一）电力消费增长较快。2022年用电量较2021年增长11.1%，主要系实验室设备增多、充电桩新增用电以及夏季空调制冷需求增加等因素叠加所致。其中亦庄院区用电增幅达13.6%，需重点关注。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（二）供水管网老化问题突出。部分院区供水管道使用年限较长，存在暗漏隐患。2022年用水量较上年增加1.2%，虽仍在指标范围内，但亦庄院区经年泄漏问题尚未根本解决，需安排专项资金进行管网排查和改造。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（三）食堂用能结构变化。2022年安定门院区食堂由液化气转换为管道天然气后，用气量纳入统计范围，使得天然气消费总量同比大幅增长。液化气转换为天然气虽提升了安全性和经济性，但统计数据需做出相应说明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（四）能耗监测手段有待提升。目前大部分用能数据仍依赖人工抄表和汇总，缺乏实时在线监测系统。节能监管平台一期虽已完成设计，但建设进度需加快推进，争取2023年上线运行。</w:t>
      </w:r>
    </w:p>
    <w:p>
      <w:pPr>
        <w:spacing w:after="160" w:before="300" w:line="360"/>
        <w:jc w:val="left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五、2023年节能工作计划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（一）主要目标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根据工信部机关服务局下达的2023年度能源资源消费指标，结合我院实际，确定以下节能目标：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22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2022年实际</w:t>
            </w:r>
          </w:p>
        </w:tc>
        <w:tc>
          <w:tcPr>
            <w:tcW w:type="dxa" w:w="22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2023年目标</w:t>
            </w:r>
          </w:p>
        </w:tc>
        <w:tc>
          <w:tcPr>
            <w:tcW w:type="dxa" w:w="1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降幅目标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电力 (kWh)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9,616,790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≤10,000,000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≤4%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水 (吨)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27,985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≤28,000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持平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天然气 (m³)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40,291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≤40,000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≤1%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汽油 (升)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2,466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≤2,400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≤3%</w:t>
            </w:r>
          </w:p>
        </w:tc>
      </w:tr>
    </w:tbl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（二）重点任务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1. 加快推进节能监管平台建设。完成一期项目电表改造工程的采购招标和施工安装，力争2023年上半年实现两地院区主要楼宇用电在线监测。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2. 实施供水管网全面排查。委托专业公司对两地院区供水管网进行检漏测漏，制定老旧管道更换计划，消除暗漏隐患。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3. 推进可再生能源利用试点。调研光伏发电、太阳能热水等可再生能源技术可行性，选取适宜院区开展小规模试点。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4. 深化公务用车精细管理。继续严格执行派车审批和油耗登记制度，探索公车共享机制，进一步压减公务用车运行成本。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5. 持续开展节能宣传教育。组织2023年全国节能宣传周和低碳日活动，开展职工节能知识竞赛，营造全院节约氛围。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6. 做好能耗数据统计上报。按季度及时准确向工信部和国管局报送能耗数据，确保数据质量。完成2023年度能源资源消费统计年报编制工作。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（三）保障措施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一是加强组织领导。充分发挥院节能工作领导小组统筹协调作用，定期召开工作会议，研究解决节能工作中的重点难点问题。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二是强化考核激励。将节能目标完成情况纳入各部门年度绩效考评，对节能工作成绩突出的部门和个人给予表彰奖励。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三是保障资金投入。将节能改造项目纳入年度预算，积极争取上级主管部门专项经费支持。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四是加强队伍建设。选派骨干参加国家和部级节能管理培训，提升专业化管理水平。</w:t>
      </w:r>
    </w:p>
    <w:p>
      <w:pPr>
        <w:spacing w:after="160" w:before="300" w:line="360"/>
        <w:jc w:val="left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六、结语</w:t>
      </w:r>
    </w:p>
    <w:p>
      <w:pPr>
        <w:spacing w:after="40" w:before="40" w:line="360"/>
        <w:ind w:firstLine="561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2023年是全面贯彻落实党的二十大精神的关键之年，也是我院创建节约型公共机构示范单位的重要一年。我们将以习近平新时代中国特色社会主义思想为指导，牢固树立和践行绿水青山就是金山银山的理念，紧紧围绕工信部系统公共机构节能工作部署，坚持问题导向、目标导向，以更大的决心、更实的举措推进节能降耗工作，为全院高质量发展提供绿色支撑，为部系统公共机构节能减排工作做出应有贡献。</w:t>
      </w:r>
    </w:p>
    <w:p>
      <w:pPr>
        <w:spacing w:after="60" w:before="400" w:line="360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/>
      </w:r>
    </w:p>
    <w:p>
      <w:pPr>
        <w:spacing w:after="60" w:before="60" w:line="360"/>
        <w:jc w:val="right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中国电子技术标准化研究院</w:t>
      </w:r>
    </w:p>
    <w:p>
      <w:pPr>
        <w:spacing w:after="60" w:before="60" w:line="360"/>
        <w:jc w:val="right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后勤管理处</w:t>
      </w:r>
    </w:p>
    <w:p>
      <w:pPr>
        <w:spacing w:after="60" w:before="60" w:line="360"/>
        <w:jc w:val="right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>二〇二三年一月</w:t>
      </w:r>
    </w:p>
    <w:p>
      <w:r>
        <w:br w:type="page"/>
      </w:r>
    </w:p>
    <w:p>
      <w:pPr>
        <w:spacing w:after="160" w:before="300" w:line="360"/>
        <w:jc w:val="left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附件</w:t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附表1：2022年度能源资源消费统计汇总表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能源品种</w:t>
            </w:r>
          </w:p>
        </w:tc>
        <w:tc>
          <w:tcPr>
            <w:tcW w:type="dxa" w:w="12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计量单位</w:t>
            </w:r>
          </w:p>
        </w:tc>
        <w:tc>
          <w:tcPr>
            <w:tcW w:type="dxa" w:w="1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全年消费量</w:t>
            </w:r>
          </w:p>
        </w:tc>
        <w:tc>
          <w:tcPr>
            <w:tcW w:type="dxa" w:w="1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全年费用 (元)</w:t>
            </w:r>
          </w:p>
        </w:tc>
        <w:tc>
          <w:tcPr>
            <w:tcW w:type="dxa" w:w="14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折算标准煤 (吨)</w:t>
            </w:r>
          </w:p>
        </w:tc>
        <w:tc>
          <w:tcPr>
            <w:tcW w:type="dxa" w:w="12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人均</w:t>
            </w:r>
          </w:p>
        </w:tc>
        <w:tc>
          <w:tcPr>
            <w:tcW w:type="dxa" w:w="12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单位面积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电力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kWh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9,616,790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7,927,066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1,181.9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179.5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水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吨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27,985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257,527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0.52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天然气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m³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40,291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114,265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53.6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0.75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汽油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升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2,466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968,995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3.7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——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——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——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约9,100,000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约1,240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——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——</w:t>
            </w:r>
          </w:p>
        </w:tc>
      </w:tr>
    </w:tbl>
    <w:p>
      <w:pPr>
        <w:spacing w:after="60" w:before="200" w:line="360"/>
        <w:jc w:val="left"/>
      </w:pPr>
      <w:r>
        <w:rPr>
          <w:rFonts w:ascii="KaiTi" w:cs="KaiTi" w:eastAsia="KaiTi" w:hAnsi="KaiTi"/>
          <w:b w:val="false"/>
          <w:bCs w:val="false"/>
          <w:sz w:val="22"/>
          <w:szCs w:val="22"/>
        </w:rPr>
        <w:t xml:space="preserve">注：1. 电力折算系数：0.1229 kgce/kWh（等价值）；天然气折算系数：1.3300 kgce/m³；汽油折算系数：1.4714 kgce/kg。2. 人均和单位面积数据因2022年在岗人数统计口径未统一，暂以「——」标示。</w:t>
      </w:r>
    </w:p>
    <w:p>
      <w:pPr>
        <w:spacing w:after="60" w:before="300" w:line="360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/>
      </w:r>
    </w:p>
    <w:p>
      <w:pPr>
        <w:spacing w:after="120" w:before="240" w:line="360"/>
        <w:jc w:val="both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附表2：2022年度节能工作大事记</w:t>
      </w:r>
    </w:p>
    <w:tbl>
      <w:tblPr>
        <w:tblW w:type="dxa" w:w="9026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6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6800"/>
            <w:shd w:fill="D9E2F3" w:val="clear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事项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2022年1月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印发2022年度节能工作计划，明确年度用能指标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2022年3月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完成12台充电桩安装工程招标，启动施工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2022年4月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参加工信部系统公共机构节约能源资源工作会议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2022年5月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充电桩投入使用，两地院区共12台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2022年6月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安定门院区食堂管道天然气改造完成，停止液化气使用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2022年7月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启动节能监管平台一期建设，完成图纸设计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2022年8月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组织开展全国节能宣传周和全国低碳日活动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2022年9月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完成LED照明改造项目验收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2022年10月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感应式水龙头安装工程完工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2022年11月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编制2023年度用能指标申请，上报工信部</w:t>
            </w:r>
          </w:p>
        </w:tc>
      </w:tr>
      <w:tr>
        <w:trPr>
          <w:tblHeader w:val="false"/>
        </w:trPr>
        <w:tc>
          <w:tcPr>
            <w:tcW w:type="dxa" w:w="600"/>
            <w:vAlign w:val="center"/>
          </w:tcPr>
          <w:p>
            <w:pPr>
              <w:spacing w:after="30" w:before="30" w:line="3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2022年12月</w:t>
            </w:r>
          </w:p>
        </w:tc>
        <w:tc>
          <w:tcPr>
            <w:tcW w:type="dxa" w:w="6800"/>
            <w:vAlign w:val="center"/>
          </w:tcPr>
          <w:p>
            <w:pPr>
              <w:spacing w:after="30" w:before="30" w:line="3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完成2022年度能源消费统计和本报告编制</w:t>
            </w:r>
          </w:p>
        </w:tc>
      </w:tr>
    </w:tbl>
    <w:p>
      <w:pPr>
        <w:spacing w:after="60" w:before="300" w:line="360"/>
        <w:jc w:val="both"/>
      </w:pPr>
      <w:r>
        <w:rPr>
          <w:rFonts w:ascii="SimSun" w:cs="SimSun" w:eastAsia="SimSun" w:hAnsi="SimSun"/>
          <w:b w:val="false"/>
          <w:bCs w:val="false"/>
          <w:sz w:val="26"/>
          <w:szCs w:val="26"/>
        </w:rPr>
        <w:t xml:space="preserve"/>
      </w:r>
    </w:p>
    <w:p>
      <w:pPr>
        <w:spacing w:after="60" w:before="60" w:line="360"/>
        <w:jc w:val="center"/>
      </w:pPr>
      <w:r>
        <w:rPr>
          <w:rFonts w:ascii="KaiTi" w:cs="KaiTi" w:eastAsia="KaiTi" w:hAnsi="KaiTi"/>
          <w:b w:val="false"/>
          <w:bCs w:val="false"/>
          <w:sz w:val="22"/>
          <w:szCs w:val="22"/>
        </w:rPr>
        <w:t xml:space="preserve">（本报告报：院领导，抄送：工信部机关服务局节能处）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2026-07-28T17:04:47.958Z</dcterms:created>
  <dcterms:modified xsi:type="dcterms:W3CDTF">2026-07-28T17:04:47.960Z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