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600" w:lineRule="exact"/>
        <w:jc w:val="center"/>
      </w:pPr>
      <w:r>
        <w:rPr>
          <w:rFonts w:eastAsia="方正小标宋简体"/>
          <w:b/>
          <w:sz w:val="44"/>
        </w:rPr>
        <w:t xml:space="preserve">2025年度能耗情况报告</w:t>
      </w:r>
    </w:p>
    <w:p>
      <w:pPr>
        <w:spacing w:line="600" w:lineRule="exact"/>
      </w:pPr>
    </w:p>
    <w:p>
      <w:pPr>
        <w:spacing w:line="600" w:lineRule="exact"/>
        <w:jc w:val="both"/>
        <w:ind w:firstLine="0"/>
      </w:pPr>
      <w:r>
        <w:rPr>
          <w:rFonts w:eastAsia="仿宋_GB2312"/>
          <w:sz w:val="32"/>
        </w:rPr>
        <w:t xml:space="preserve">院领导：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现将我院2025年度（1—11月）能源资源消费情况报告如下。</w:t>
      </w:r>
    </w:p>
    <w:p>
      <w:pPr>
        <w:spacing w:line="600" w:lineRule="exact"/>
        <w:ind w:firstLine="640"/>
      </w:pPr>
      <w:r>
        <w:rPr>
          <w:rFonts w:eastAsia="黑体"/>
          <w:b/>
          <w:sz w:val="32"/>
        </w:rPr>
        <w:t xml:space="preserve">一、总体情况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2025年度（财年口径：2024年12月—2025年11月），我院两地院区（安定门、亦庄）能源资源消费总体平稳，用水量下降明显，用电结构基本稳定。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全年水电动静消费合计847.70万元，较2024年同期933.96万元减少86.26万元，降幅9.2%。</w:t>
      </w:r>
    </w:p>
    <w:p>
      <w:pPr>
        <w:spacing w:line="600" w:lineRule="exact"/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r>
        <w:tc>
          <w:tcPr>
            <w:tcW w:w="1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类别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2025年用量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2025年金额（万元）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2024年金额（万元）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同比</w:t>
            </w:r>
          </w:p>
        </w:tc>
      </w:tr>
      <w:tr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电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1,008.24 万千瓦时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824.55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903.80</w:t>
            </w:r>
          </w:p>
        </w:tc>
        <w:tc>
          <w:tcPr>
            <w:tcW w:w="1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-8.8%</w:t>
            </w:r>
          </w:p>
        </w:tc>
      </w:tr>
      <w:tr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水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25,071 吨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23.15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30.16</w:t>
            </w:r>
          </w:p>
        </w:tc>
        <w:tc>
          <w:tcPr>
            <w:tcW w:w="1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-23.2%</w:t>
            </w:r>
          </w:p>
        </w:tc>
      </w:tr>
      <w:tr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合计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—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847.70</w:t>
            </w:r>
          </w:p>
        </w:tc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933.96</w:t>
            </w:r>
          </w:p>
        </w:tc>
        <w:tc>
          <w:tcPr>
            <w:tcW w:w="1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-9.2%</w:t>
            </w:r>
          </w:p>
        </w:tc>
      </w:tr>
    </w:tbl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注：燃气仅有年度汇总数据（2024年度用量24,143立方米、费用7.29万元），2025年度数据尚未产生，暂不纳入本报告统计。</w:t>
      </w:r>
    </w:p>
    <w:p>
      <w:pPr>
        <w:spacing w:line="600" w:lineRule="exact"/>
        <w:ind w:firstLine="640"/>
      </w:pPr>
      <w:r>
        <w:rPr>
          <w:rFonts w:eastAsia="黑体"/>
          <w:b/>
          <w:sz w:val="32"/>
        </w:rPr>
        <w:t xml:space="preserve">二、用电情况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全年用电1,008.24万千瓦时，电费824.55万元，月均用电91.66万千瓦时。</w:t>
      </w:r>
    </w:p>
    <w:p>
      <w:pPr>
        <w:spacing w:line="600" w:lineRule="exact"/>
        <w:ind w:firstLine="640"/>
      </w:pPr>
      <w:r>
        <w:rPr>
          <w:rFonts w:eastAsia="楷体_GB2312"/>
          <w:b/>
          <w:sz w:val="32"/>
        </w:rPr>
        <w:t xml:space="preserve">（一）分月用电趋势</w:t>
      </w:r>
    </w:p>
    <w:p>
      <w:pPr>
        <w:spacing w:line="600" w:lineRule="exact"/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r>
        <w:tc>
          <w:tcPr>
            <w:tcW w:w="2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月份</w:t>
            </w:r>
          </w:p>
        </w:tc>
        <w:tc>
          <w:tcPr>
            <w:tcW w:w="3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用电量（万千瓦时）</w:t>
            </w:r>
          </w:p>
        </w:tc>
        <w:tc>
          <w:tcPr>
            <w:tcW w:w="3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电费（万元）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110.93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82.58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95.58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69.88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83.37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65.14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4月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66.92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57.73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5月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77.68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65.54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89.89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75.36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103.62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91.67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112.46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99.06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91.07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77.00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10月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67.91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56.52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11月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108.81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84.06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合计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1,008.24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824.55</w:t>
            </w:r>
          </w:p>
        </w:tc>
      </w:tr>
    </w:tbl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1月（110.93万千瓦时）、8月（112.46万千瓦时）、11月（108.81万千瓦时）为用电高峰，与冬季供暖及夏季制冷空调负荷、亦庄院区实验设备运行密切相关。4月（66.92万千瓦时）、10月（67.91万千瓦时）为用电低谷，处于冷暖过渡期。</w:t>
      </w:r>
    </w:p>
    <w:p>
      <w:pPr>
        <w:spacing w:line="600" w:lineRule="exact"/>
        <w:ind w:firstLine="640"/>
      </w:pPr>
      <w:r>
        <w:rPr>
          <w:rFonts w:eastAsia="楷体_GB2312"/>
          <w:b/>
          <w:sz w:val="32"/>
        </w:rPr>
        <w:t xml:space="preserve">（二）分院区用电结构</w:t>
      </w:r>
    </w:p>
    <w:p>
      <w:pPr>
        <w:spacing w:line="600" w:lineRule="exact"/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r>
        <w:tc>
          <w:tcPr>
            <w:tcW w:w="2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院区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用电量（万千瓦时）</w:t>
            </w:r>
          </w:p>
        </w:tc>
        <w:tc>
          <w:tcPr>
            <w:tcW w:w="16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占比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电费（万元）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亦庄</w:t>
            </w:r>
          </w:p>
        </w:tc>
        <w:tc>
          <w:tcPr>
            <w:tcW w:w="3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743.76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73.8%</w:t>
            </w:r>
          </w:p>
        </w:tc>
        <w:tc>
          <w:tcPr>
            <w:tcW w:w="2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642.06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安定门</w:t>
            </w:r>
          </w:p>
        </w:tc>
        <w:tc>
          <w:tcPr>
            <w:tcW w:w="3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264.48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26.2%</w:t>
            </w:r>
          </w:p>
        </w:tc>
        <w:tc>
          <w:tcPr>
            <w:tcW w:w="2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182.49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合计</w:t>
            </w:r>
          </w:p>
        </w:tc>
        <w:tc>
          <w:tcPr>
            <w:tcW w:w="3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1,008.24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100%</w:t>
            </w:r>
          </w:p>
        </w:tc>
        <w:tc>
          <w:tcPr>
            <w:tcW w:w="2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824.55</w:t>
            </w:r>
          </w:p>
        </w:tc>
      </w:tr>
    </w:tbl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亦庄院区用电占总量的73.8%，与亦庄院区实验室、数据中心等能耗密集型设施集中布局有关；安定门院区占26.2%，以办公照明、空调及日常设备用电为主。</w:t>
      </w:r>
    </w:p>
    <w:p>
      <w:pPr>
        <w:spacing w:line="600" w:lineRule="exact"/>
        <w:ind w:firstLine="640"/>
      </w:pPr>
      <w:r>
        <w:rPr>
          <w:rFonts w:eastAsia="黑体"/>
          <w:b/>
          <w:sz w:val="32"/>
        </w:rPr>
        <w:t xml:space="preserve">三、用水情况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全年用水25,071吨，水费23.15万元，月均用水2,279吨。</w:t>
      </w:r>
    </w:p>
    <w:p>
      <w:pPr>
        <w:spacing w:line="600" w:lineRule="exact"/>
        <w:ind w:firstLine="640"/>
      </w:pPr>
      <w:r>
        <w:rPr>
          <w:rFonts w:eastAsia="楷体_GB2312"/>
          <w:b/>
          <w:sz w:val="32"/>
        </w:rPr>
        <w:t xml:space="preserve">（一）分月用水趋势</w:t>
      </w:r>
    </w:p>
    <w:p>
      <w:pPr>
        <w:spacing w:line="600" w:lineRule="exact"/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r>
        <w:tc>
          <w:tcPr>
            <w:tcW w:w="2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月份</w:t>
            </w:r>
          </w:p>
        </w:tc>
        <w:tc>
          <w:tcPr>
            <w:tcW w:w="3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用水量（吨）</w:t>
            </w:r>
          </w:p>
        </w:tc>
        <w:tc>
          <w:tcPr>
            <w:tcW w:w="3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水费（万元）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1,746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1.62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1,594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1.48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833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0.77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4月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2,458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2.27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5月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2,234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2.07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6月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2,397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2.21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7月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2,891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2.66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3,107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2.87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3,205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2.95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10月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2,966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2.72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11月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1,640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1.52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合计</w:t>
            </w:r>
          </w:p>
        </w:tc>
        <w:tc>
          <w:tcPr>
            <w:tcW w:w="3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25,071</w:t>
            </w:r>
          </w:p>
        </w:tc>
        <w:tc>
          <w:tcPr>
            <w:tcW w:w="3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23.15</w:t>
            </w:r>
          </w:p>
        </w:tc>
      </w:tr>
    </w:tbl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7—10月用水量较高（月均3,042吨），与夏季绿化灌溉、空调冷却水补水等季节性需求增加有关；3月用水量最低（833吨），为冬春过渡期。</w:t>
      </w:r>
    </w:p>
    <w:p>
      <w:pPr>
        <w:spacing w:line="600" w:lineRule="exact"/>
        <w:ind w:firstLine="640"/>
      </w:pPr>
      <w:r>
        <w:rPr>
          <w:rFonts w:eastAsia="楷体_GB2312"/>
          <w:b/>
          <w:sz w:val="32"/>
        </w:rPr>
        <w:t xml:space="preserve">（二）分院区用水结构</w:t>
      </w:r>
    </w:p>
    <w:p>
      <w:pPr>
        <w:spacing w:line="600" w:lineRule="exact"/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r>
        <w:tc>
          <w:tcPr>
            <w:tcW w:w="2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院区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用水量（吨）</w:t>
            </w:r>
          </w:p>
        </w:tc>
        <w:tc>
          <w:tcPr>
            <w:tcW w:w="16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占比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水费（万元）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亦庄</w:t>
            </w:r>
          </w:p>
        </w:tc>
        <w:tc>
          <w:tcPr>
            <w:tcW w:w="3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13,438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53.6%</w:t>
            </w:r>
          </w:p>
        </w:tc>
        <w:tc>
          <w:tcPr>
            <w:tcW w:w="2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12.09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安定门</w:t>
            </w:r>
          </w:p>
        </w:tc>
        <w:tc>
          <w:tcPr>
            <w:tcW w:w="3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11,633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46.4%</w:t>
            </w:r>
          </w:p>
        </w:tc>
        <w:tc>
          <w:tcPr>
            <w:tcW w:w="2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11.05</w:t>
            </w:r>
          </w:p>
        </w:tc>
      </w:tr>
      <w:tr>
        <w:tc>
          <w:tcPr>
            <w:tcW w:w="2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合计</w:t>
            </w:r>
          </w:p>
        </w:tc>
        <w:tc>
          <w:tcPr>
            <w:tcW w:w="3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25,071</w:t>
            </w:r>
          </w:p>
        </w:tc>
        <w:tc>
          <w:tcPr>
            <w:tcW w:w="1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100%</w:t>
            </w:r>
          </w:p>
        </w:tc>
        <w:tc>
          <w:tcPr>
            <w:tcW w:w="26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23.15</w:t>
            </w:r>
          </w:p>
        </w:tc>
      </w:tr>
    </w:tbl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两院区用水量较为均衡，亦庄院区略高，与该院区绿化面积较大、实验冷却补水等因素有关。</w:t>
      </w:r>
    </w:p>
    <w:p>
      <w:pPr>
        <w:spacing w:line="600" w:lineRule="exact"/>
        <w:ind w:firstLine="640"/>
      </w:pPr>
      <w:r>
        <w:rPr>
          <w:rFonts w:eastAsia="黑体"/>
          <w:b/>
          <w:sz w:val="32"/>
        </w:rPr>
        <w:t xml:space="preserve">四、同比分析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与2024年度（1—11月）相比：</w:t>
      </w:r>
    </w:p>
    <w:p>
      <w:pPr>
        <w:spacing w:line="600" w:lineRule="exact"/>
      </w:pPr>
    </w:p>
    <w:tbl>
      <w:tblPr>
        <w:tblW w:w="0" w:type="auto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r>
        <w:tc>
          <w:tcPr>
            <w:tcW w:w="24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指标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2025年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2024年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同比变化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  <w:b/>
              </w:rPr>
              <w:t xml:space="preserve">降幅</w:t>
            </w:r>
          </w:p>
        </w:tc>
      </w:tr>
      <w:tr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用电量（万千瓦时）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1,008.24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1,092.31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-84.07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-7.7%</w:t>
            </w:r>
          </w:p>
        </w:tc>
      </w:tr>
      <w:tr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电费（万元）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824.55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903.80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-79.25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-8.8%</w:t>
            </w:r>
          </w:p>
        </w:tc>
      </w:tr>
      <w:tr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用水量（吨）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25,071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32,773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-7,702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-23.5%</w:t>
            </w:r>
          </w:p>
        </w:tc>
      </w:tr>
      <w:tr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水费（万元）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23.15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30.16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-7.01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-23.2%</w:t>
            </w:r>
          </w:p>
        </w:tc>
      </w:tr>
      <w:tr>
        <w:tc>
          <w:tcPr>
            <w:tcW w:w="24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水电动静合计（万元）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847.70</w:t>
            </w:r>
          </w:p>
        </w:tc>
        <w:tc>
          <w:tcPr>
            <w:tcW w:w="18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933.96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-86.26</w:t>
            </w:r>
          </w:p>
        </w:tc>
        <w:tc>
          <w:tcPr>
            <w:tcW w:w="2000" w:type="dxa"/>
          </w:tcPr>
          <w:p>
            <w:pPr>
              <w:spacing w:line="400" w:lineRule="exact"/>
              <w:jc w:val="center"/>
            </w:pPr>
            <w:r>
              <w:rPr>
                <w:rFonts w:eastAsia="仿宋_GB2312"/>
                <w:sz w:val="24"/>
              </w:rPr>
              <w:t xml:space="preserve">-9.2%</w:t>
            </w:r>
          </w:p>
        </w:tc>
      </w:tr>
    </w:tbl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用电量方面，同比减少84.07万千瓦时（降幅7.7%），相当于减少标准煤约103吨，减少二氧化碳排放约470吨。主要原因：一是节能监管平台一期投用后，精细化管理水平提升，对高耗能区域实现分项计量和实时监测；二是部分老旧高耗能实验设备更新换代；三是公共区域照明与空调运行时段优化，杜绝“长明灯”“无人空调”等现象。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用水量方面，同比减少7,702吨（降幅23.5%），节水效果显著。主要原因：一是持续推进节水器具改造，更换感应式水龙头、节水型卫浴设备；二是加强管网日常巡检，漏损点发现与修复及时；三是绿化灌溉方式由漫灌改为喷灌、滴灌，用水效率大幅提升。</w:t>
      </w:r>
    </w:p>
    <w:p>
      <w:pPr>
        <w:spacing w:line="600" w:lineRule="exact"/>
        <w:ind w:firstLine="640"/>
      </w:pPr>
      <w:r>
        <w:rPr>
          <w:rFonts w:eastAsia="黑体"/>
          <w:b/>
          <w:sz w:val="32"/>
        </w:rPr>
        <w:t xml:space="preserve">五、下一步工作建议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（一）持续推进节能监管平台建设。目前节能监管平台一期电表改造图纸及招标文件已完成，建议加快推进二期（水表、燃气表）联网接入，实现两地院区水、电、气能耗数据实时采集与异常自动预警，全面提升能耗精细化管理水平。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（二）建立月度能耗分析机制。自2026年起，按月编制能耗简报，跟踪两院区用电、用水数据变化趋势，对异常波动及时排查、及时整改，做到“发现一处、整改一处”。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（三）探索合同能源管理模式。针对亦庄院区用电量占比高（73.8%）的现状，评估引入合同能源管理模式进行节能改造的可行性与经济性，借助社会资本降低节能改造成本。</w:t>
      </w: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（四）持续加强节能宣传与行为引导。结合全国节能宣传周、全国低碳日等节点，组织开展绿色办公、节约用能等主题宣传活动，提升全院干部职工节能意识，形成人人参与、人人有责的良好氛围。</w:t>
      </w:r>
    </w:p>
    <w:p>
      <w:pPr>
        <w:spacing w:line="600" w:lineRule="exact"/>
      </w:pPr>
    </w:p>
    <w:p>
      <w:pPr>
        <w:spacing w:line="600" w:lineRule="exact"/>
        <w:jc w:val="both"/>
        <w:ind w:firstLine="640"/>
      </w:pPr>
      <w:r>
        <w:rPr>
          <w:rFonts w:eastAsia="仿宋_GB2312"/>
          <w:sz w:val="32"/>
        </w:rPr>
        <w:t xml:space="preserve">特此报告。</w:t>
      </w: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  <w:ind w:firstLine="4000"/>
      </w:pPr>
      <w:r>
        <w:rPr>
          <w:rFonts w:eastAsia="仿宋_GB2312"/>
          <w:sz w:val="32"/>
        </w:rPr>
        <w:t xml:space="preserve">中国电子技术标准化研究院</w:t>
      </w:r>
    </w:p>
    <w:p>
      <w:pPr>
        <w:spacing w:line="600" w:lineRule="exact"/>
        <w:ind w:firstLine="5280"/>
      </w:pPr>
      <w:r>
        <w:rPr>
          <w:rFonts w:eastAsia="仿宋_GB2312"/>
          <w:sz w:val="32"/>
        </w:rPr>
        <w:t xml:space="preserve">后勤管理处</w:t>
      </w:r>
    </w:p>
    <w:p>
      <w:pPr>
        <w:spacing w:line="600" w:lineRule="exact"/>
        <w:ind w:firstLine="4480"/>
      </w:pPr>
      <w:r>
        <w:rPr>
          <w:rFonts w:eastAsia="仿宋_GB2312"/>
          <w:sz w:val="32"/>
        </w:rPr>
        <w:t xml:space="preserve">2026年7月28日</w:t>
      </w:r>
    </w:p>
    <w:sectPr>
      <w:pgSz w:w="11906" w:h="16838"/>
      <w:pgMar w:top="1440" w:right="1800" w:bottom="1440" w:left="1800"/>
    </w:sectPr>
  </w:body>
</w:document>
</file>