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6.8.0 -->
  <w:body>
    <w:p w:rsidR="003D576A" w14:paraId="22687741" w14:textId="77777777">
      <w:pPr>
        <w:jc w:val="center"/>
      </w:pPr>
      <w:r>
        <w:rPr>
          <w:b/>
          <w:color w:val="1F4E79"/>
          <w:sz w:val="30"/>
        </w:rPr>
        <w:t>REVIEWER EVALUATION REPORT</w:t>
      </w:r>
    </w:p>
    <w:p w:rsidR="003D576A" w14:paraId="1CB3ACB1" w14:textId="77777777">
      <w:pPr>
        <w:jc w:val="center"/>
      </w:pPr>
      <w:r>
        <w:rPr>
          <w:b/>
          <w:sz w:val="22"/>
        </w:rPr>
        <w:t>Manuscript: “Precision Synthesis of Multi-Tracer PET via VLM-Modulated Rectified Flow for MCI Stratification”</w:t>
      </w:r>
    </w:p>
    <w:p w:rsidR="003D576A" w14:paraId="33F4BEFE" w14:textId="77777777">
      <w:pPr>
        <w:jc w:val="center"/>
      </w:pPr>
      <w:r>
        <w:rPr>
          <w:i/>
          <w:sz w:val="19"/>
        </w:rPr>
        <w:t>Manuscript No.: BMEF-D-26-00169  |  Article Type: Research Article</w:t>
      </w:r>
    </w:p>
    <w:tbl>
      <w:tblPr>
        <w:tblW w:w="0" w:type="auto"/>
        <w:jc w:val="center"/>
        <w:tblLook w:val="04A0"/>
      </w:tblPr>
      <w:tblGrid>
        <w:gridCol w:w="10166"/>
      </w:tblGrid>
      <w:tr w14:paraId="497911AC" w14:textId="77777777">
        <w:tblPrEx>
          <w:tblW w:w="0" w:type="auto"/>
          <w:tblLook w:val="04A0"/>
        </w:tblPrEx>
        <w:tc>
          <w:tcPr>
            <w:tcW w:w="10166" w:type="dxa"/>
            <w:shd w:val="clear" w:color="auto" w:fill="EAF2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3D576A" w14:paraId="4F4FF50F" w14:textId="77777777">
            <w:pPr>
              <w:jc w:val="both"/>
            </w:pPr>
            <w:r>
              <w:rPr>
                <w:b/>
              </w:rPr>
              <w:t xml:space="preserve">Overall assessment: </w:t>
            </w:r>
            <w:r>
              <w:t>The manuscript presents a technically strong and clinically relevant framework with high novelty. However, several methodological and statistical issues should be addressed before the work can be considered for acceptance.</w:t>
            </w:r>
          </w:p>
        </w:tc>
      </w:tr>
    </w:tbl>
    <w:p w:rsidR="003D576A" w14:paraId="44A7C96D" w14:textId="77777777"/>
    <w:p w:rsidR="003D576A" w14:paraId="73E7418C" w14:textId="77777777">
      <w:r>
        <w:rPr>
          <w:b/>
          <w:color w:val="1F4E79"/>
          <w:sz w:val="25"/>
        </w:rPr>
        <w:t>Major Reviewer Comments</w:t>
      </w:r>
    </w:p>
    <w:p w:rsidR="003D576A" w:rsidP="00870977" w14:paraId="09CA87BB" w14:textId="77777777">
      <w:pPr>
        <w:spacing w:after="60"/>
        <w:ind w:left="43" w:hanging="43"/>
        <w:jc w:val="both"/>
      </w:pPr>
      <w:r>
        <w:rPr>
          <w:b/>
        </w:rPr>
        <w:t xml:space="preserve">1. High scientific novelty: </w:t>
      </w:r>
      <w:r>
        <w:t>The integration of 3D rectified flow, a domain-adapted BiomedCLIP/VLM, and multi-tracer PET synthesis is a clear methodological contribution beyond conventional MRI-to-PET translation.</w:t>
      </w:r>
    </w:p>
    <w:p w:rsidR="003D576A" w:rsidP="00870977" w14:paraId="39C5CBC1" w14:textId="77777777">
      <w:pPr>
        <w:spacing w:after="60"/>
        <w:ind w:left="43" w:hanging="43"/>
        <w:jc w:val="both"/>
      </w:pPr>
      <w:r>
        <w:rPr>
          <w:b/>
        </w:rPr>
        <w:t xml:space="preserve">2. Strong clinical motivation: </w:t>
      </w:r>
      <w:r>
        <w:t>Synthesizing AV45-PET and FDG-PET from routine MRI addresses important limitations related to PET cost, radiation exposure, and accessibility.</w:t>
      </w:r>
    </w:p>
    <w:p w:rsidR="003D576A" w:rsidP="00870977" w14:paraId="74267524" w14:textId="77777777">
      <w:pPr>
        <w:spacing w:after="60"/>
        <w:ind w:left="43" w:hanging="43"/>
        <w:jc w:val="both"/>
      </w:pPr>
      <w:r>
        <w:rPr>
          <w:b/>
        </w:rPr>
        <w:t xml:space="preserve">3. Cross-validation inconsistency: </w:t>
      </w:r>
      <w:r>
        <w:t>The Results section reports 3-fold cross-validation, whereas the preprocessing/methodology section reports a two-fold scheme. The exact protocol must be reconciled and stated consistently for each experiment.</w:t>
      </w:r>
    </w:p>
    <w:p w:rsidR="003D576A" w:rsidP="00870977" w14:paraId="0268D19B" w14:textId="77777777">
      <w:pPr>
        <w:spacing w:after="60"/>
        <w:ind w:left="43" w:hanging="43"/>
        <w:jc w:val="both"/>
      </w:pPr>
      <w:r>
        <w:rPr>
          <w:b/>
        </w:rPr>
        <w:t xml:space="preserve">4. Overstatement of prognostic stratification: </w:t>
      </w:r>
      <w:r>
        <w:t>EMCI-versus-LMCI classification is a stage-discrimination task and does not by itself establish longitudinal prognosis or future conversion to AD. The terminology should be moderated unless longitudinal conversion outcomes are analyzed.</w:t>
      </w:r>
    </w:p>
    <w:p w:rsidR="003D576A" w:rsidP="00870977" w14:paraId="0A3DCD9A" w14:textId="77777777">
      <w:pPr>
        <w:spacing w:after="60"/>
        <w:ind w:left="43" w:hanging="43"/>
        <w:jc w:val="both"/>
      </w:pPr>
      <w:r>
        <w:rPr>
          <w:b/>
        </w:rPr>
        <w:t xml:space="preserve">5. Potential clinical-information leakage: </w:t>
      </w:r>
      <w:r>
        <w:t>Age, sex, weight, and cognitive scores are embedded in the text conditioning. Because these variables are strongly associated with diagnosis, ablation experiments excluding cognitive scores are necessary to demonstrate that Syn-PET is not simply re-encoding diagnostic metadata.</w:t>
      </w:r>
    </w:p>
    <w:p w:rsidR="003D576A" w:rsidP="00870977" w14:paraId="00053976" w14:textId="77777777">
      <w:pPr>
        <w:spacing w:after="60"/>
        <w:ind w:left="43" w:hanging="43"/>
        <w:jc w:val="both"/>
      </w:pPr>
      <w:r>
        <w:rPr>
          <w:b/>
        </w:rPr>
        <w:t xml:space="preserve">6. Subject-level splitting must be explicit: </w:t>
      </w:r>
      <w:r>
        <w:t>Because ADNI contains longitudinal scans, the authors should confirm that all visits from a given participant remain within a single fold to avoid subject leakage between training and testing.</w:t>
      </w:r>
    </w:p>
    <w:p w:rsidR="003D576A" w:rsidP="00870977" w14:paraId="637A03ED" w14:textId="77777777">
      <w:pPr>
        <w:spacing w:after="60"/>
        <w:ind w:left="43" w:hanging="43"/>
        <w:jc w:val="both"/>
      </w:pPr>
      <w:r>
        <w:rPr>
          <w:b/>
        </w:rPr>
        <w:t xml:space="preserve">7. External validation is incomplete for multi-tracer claims: </w:t>
      </w:r>
      <w:r>
        <w:t>OASIS-3 external evaluation includes AV45-PET but excludes FDG-PET. Therefore, external generalizability is demonstrated only partially and the multi-tracer generalization claim should be qualified.</w:t>
      </w:r>
    </w:p>
    <w:p w:rsidR="003D576A" w:rsidP="00870977" w14:paraId="5AF58227" w14:textId="77777777">
      <w:pPr>
        <w:spacing w:after="60"/>
        <w:ind w:left="43" w:hanging="43"/>
        <w:jc w:val="both"/>
      </w:pPr>
      <w:r>
        <w:rPr>
          <w:b/>
        </w:rPr>
        <w:t xml:space="preserve">8. Non-significance does not prove equivalence: </w:t>
      </w:r>
      <w:r>
        <w:t>Using p &gt; 0.05 between real and synthetic PET as evidence of high fidelity is statistically insufficient. Equivalence testing (e.g., TOST) with clinically meaningful equivalence margins is more appropriate.</w:t>
      </w:r>
    </w:p>
    <w:p w:rsidR="003D576A" w:rsidP="00870977" w14:paraId="178EF7D9" w14:textId="77777777">
      <w:pPr>
        <w:spacing w:after="60"/>
        <w:ind w:left="43" w:hanging="43"/>
        <w:jc w:val="both"/>
      </w:pPr>
      <w:r>
        <w:rPr>
          <w:b/>
        </w:rPr>
        <w:t xml:space="preserve">9. Multiple-comparison reporting should be clearer: </w:t>
      </w:r>
      <w:r>
        <w:t>FDR correction is appropriate, but the statistical family, number of tests, and adjusted p/q-values should be reported explicitly.</w:t>
      </w:r>
    </w:p>
    <w:p w:rsidR="003D576A" w:rsidP="00870977" w14:paraId="62C705F7" w14:textId="77777777">
      <w:pPr>
        <w:spacing w:after="60"/>
        <w:ind w:left="43" w:hanging="43"/>
        <w:jc w:val="both"/>
      </w:pPr>
      <w:r>
        <w:rPr>
          <w:b/>
        </w:rPr>
        <w:t xml:space="preserve">10. PET agreement metrics should be strengthened: </w:t>
      </w:r>
      <w:r>
        <w:t>SSIM, PSNR, MSE, and MAE are useful image-similarity metrics but are insufficient for biomarker agreement. ICC/CCC, Bland-Altman analysis, regional SUV bias, and calibration analyses would improve clinical validation.</w:t>
      </w:r>
    </w:p>
    <w:p w:rsidR="003D576A" w:rsidP="00870977" w14:paraId="083CAF2C" w14:textId="77777777">
      <w:pPr>
        <w:spacing w:after="60"/>
        <w:ind w:left="43" w:hanging="43"/>
        <w:jc w:val="both"/>
      </w:pPr>
      <w:r>
        <w:rPr>
          <w:b/>
        </w:rPr>
        <w:t xml:space="preserve">11. Classification uncertainty is underreported: </w:t>
      </w:r>
      <w:r>
        <w:t>ACC, AUC, sensitivity, and specificity should be accompanied by fold-wise mean ± SD or 95% confidence intervals rather than isolated point estimates.</w:t>
      </w:r>
    </w:p>
    <w:p w:rsidR="003D576A" w:rsidP="00870977" w14:paraId="1B18E7AE" w14:textId="77777777">
      <w:pPr>
        <w:spacing w:after="60"/>
        <w:ind w:left="43" w:hanging="43"/>
        <w:jc w:val="both"/>
      </w:pPr>
      <w:r>
        <w:rPr>
          <w:b/>
        </w:rPr>
        <w:t xml:space="preserve">12. Claims of statistical superiority require direct tests: </w:t>
      </w:r>
      <w:r>
        <w:t>Statements such as “significantly outperforming” should be supported by formal paired comparisons, such as DeLong testing for AUC or paired bootstrap/McNemar tests where appropriate.</w:t>
      </w:r>
    </w:p>
    <w:p w:rsidR="003D576A" w:rsidP="00870977" w14:paraId="257CB6A2" w14:textId="77777777">
      <w:pPr>
        <w:spacing w:after="60"/>
        <w:ind w:left="43" w:hanging="43"/>
        <w:jc w:val="both"/>
      </w:pPr>
      <w:r>
        <w:rPr>
          <w:b/>
        </w:rPr>
        <w:t xml:space="preserve">13. One-step sampling terminology requires correction: </w:t>
      </w:r>
      <w:r>
        <w:t>The phrase “exact one-step sampling” is too strong for a distilled end-point predictor. The manuscript should distinguish exact ODE integration from learned one-step approximation.</w:t>
      </w:r>
    </w:p>
    <w:p w:rsidR="003D576A" w:rsidP="00870977" w14:paraId="3C773613" w14:textId="77777777">
      <w:pPr>
        <w:spacing w:after="60"/>
        <w:ind w:left="43" w:hanging="43"/>
        <w:jc w:val="both"/>
      </w:pPr>
      <w:r>
        <w:rPr>
          <w:b/>
        </w:rPr>
        <w:t xml:space="preserve">14. Domain-adapted VLM details are insufficient: </w:t>
      </w:r>
      <w:r>
        <w:t>The manuscript should report embedding dimensionality, PET image-feature extraction, prompt construction, affine-adapter training, threshold τ selection, and optimization details to ensure reproducibility.</w:t>
      </w:r>
    </w:p>
    <w:p w:rsidR="003D576A" w:rsidP="00870977" w14:paraId="44624CD8" w14:textId="77777777">
      <w:pPr>
        <w:spacing w:after="60"/>
        <w:ind w:left="43" w:hanging="43"/>
        <w:jc w:val="both"/>
      </w:pPr>
      <w:r>
        <w:rPr>
          <w:b/>
        </w:rPr>
        <w:t xml:space="preserve">15. Equation (1) needs stronger justification: </w:t>
      </w:r>
      <w:r>
        <w:t>The semantic-similarity constraint between FDG and AV45 embeddings may conflict with the stated goal of preserving inter-tracer differences. A sensitivity analysis for τ and an explicit ablation are recommended.</w:t>
      </w:r>
    </w:p>
    <w:p w:rsidR="003D576A" w:rsidP="00870977" w14:paraId="0A2AE16D" w14:textId="77777777">
      <w:pPr>
        <w:spacing w:after="60"/>
        <w:ind w:left="43" w:hanging="43"/>
        <w:jc w:val="both"/>
      </w:pPr>
      <w:r>
        <w:rPr>
          <w:b/>
        </w:rPr>
        <w:t xml:space="preserve">16. Demographic confounding needs control: </w:t>
      </w:r>
      <w:r>
        <w:t>ADNI groups differ significantly in age, sex, and other variables that are also used in the conditioning prompt. Matched, adjusted, or subgroup analyses are needed to quantify confounding effects.</w:t>
      </w:r>
    </w:p>
    <w:p w:rsidR="003D576A" w:rsidP="00870977" w14:paraId="2A16B5BE" w14:textId="77777777">
      <w:pPr>
        <w:spacing w:after="60"/>
        <w:ind w:left="43" w:hanging="43"/>
        <w:jc w:val="both"/>
      </w:pPr>
      <w:r>
        <w:rPr>
          <w:b/>
        </w:rPr>
        <w:t xml:space="preserve">17. Baseline adaptation and fairness should be documented: </w:t>
      </w:r>
      <w:r>
        <w:t>Some comparator methods originate from segmentation or MRI-to-CT synthesis. The authors should clearly describe how each baseline was adapted and confirm identical data splits, preprocessing, tuning effort, and training budgets.</w:t>
      </w:r>
    </w:p>
    <w:p w:rsidR="003D576A" w:rsidP="00870977" w14:paraId="4446F4C4" w14:textId="77777777">
      <w:pPr>
        <w:spacing w:after="60"/>
        <w:ind w:left="43" w:hanging="43"/>
        <w:jc w:val="both"/>
      </w:pPr>
      <w:r>
        <w:rPr>
          <w:b/>
        </w:rPr>
        <w:t xml:space="preserve">18. Computational-efficiency claims need direct evidence: </w:t>
      </w:r>
      <w:r>
        <w:t>The manuscript reports approximately 138 GPU-hours for training, but should also report inference time per 3D volume, parameter count, FLOPs, memory use, and direct runtime comparisons with diffusion/flow baselines.</w:t>
      </w:r>
    </w:p>
    <w:p w:rsidR="003D576A" w:rsidP="00870977" w14:paraId="7128ECA0" w14:textId="77777777">
      <w:pPr>
        <w:spacing w:after="60"/>
        <w:ind w:left="43" w:hanging="43"/>
        <w:jc w:val="both"/>
      </w:pPr>
      <w:r>
        <w:rPr>
          <w:b/>
        </w:rPr>
        <w:t xml:space="preserve">19. Reproducibility is a strength but can be improved: </w:t>
      </w:r>
      <w:r>
        <w:t>Public code, trained models, software versions, and hardware details are valuable. The authors should additionally provide fixed data-split files, random seeds, and a repository commit/version used for the reported experiments.</w:t>
      </w:r>
    </w:p>
    <w:p w:rsidR="003D576A" w:rsidP="00870977" w14:paraId="4A0AA5C5" w14:textId="77777777">
      <w:pPr>
        <w:spacing w:after="60"/>
        <w:ind w:left="43" w:hanging="43"/>
        <w:jc w:val="both"/>
      </w:pPr>
      <w:r>
        <w:rPr>
          <w:b/>
        </w:rPr>
        <w:t xml:space="preserve">20. Clinical translation claims should be moderated: </w:t>
      </w:r>
      <w:r>
        <w:t>Statements regarding widespread screening, clinically actionable biomarkers, and early intervention exceed the evidence from retrospective ADNI/OASIS cohorts. Prospective, diverse, multi-center clinical validation is needed before such claims are justified.</w:t>
      </w:r>
    </w:p>
    <w:p w:rsidR="003D576A" w14:paraId="158642EC" w14:textId="77777777">
      <w:pPr>
        <w:spacing w:before="120"/>
      </w:pPr>
      <w:r>
        <w:rPr>
          <w:b/>
          <w:color w:val="1F4E79"/>
          <w:sz w:val="25"/>
        </w:rPr>
        <w:t>Final Assessment</w:t>
      </w:r>
    </w:p>
    <w:tbl>
      <w:tblPr>
        <w:tblStyle w:val="TableGrid"/>
        <w:tblW w:w="0" w:type="auto"/>
        <w:jc w:val="center"/>
        <w:tblLook w:val="04A0"/>
      </w:tblPr>
      <w:tblGrid>
        <w:gridCol w:w="5083"/>
        <w:gridCol w:w="5083"/>
      </w:tblGrid>
      <w:tr w14:paraId="04ADA923" w14:textId="77777777">
        <w:tblPrEx>
          <w:tblW w:w="0" w:type="auto"/>
          <w:tblLook w:val="04A0"/>
        </w:tblPrEx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5AC20EBB" w14:textId="77777777">
            <w:r>
              <w:rPr>
                <w:b/>
              </w:rPr>
              <w:t>Scientific Quality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61BC0235" w14:textId="77777777">
            <w:r>
              <w:t>78/100</w:t>
            </w:r>
          </w:p>
        </w:tc>
      </w:tr>
      <w:tr w14:paraId="02B6469B" w14:textId="77777777">
        <w:tblPrEx>
          <w:tblW w:w="0" w:type="auto"/>
          <w:tblLook w:val="04A0"/>
        </w:tblPrEx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153E5D30" w14:textId="77777777">
            <w:r>
              <w:rPr>
                <w:b/>
              </w:rPr>
              <w:t>Novelty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1489BA21" w14:textId="77777777">
            <w:r>
              <w:t>High</w:t>
            </w:r>
          </w:p>
        </w:tc>
      </w:tr>
      <w:tr w14:paraId="245DA8E3" w14:textId="77777777">
        <w:tblPrEx>
          <w:tblW w:w="0" w:type="auto"/>
          <w:tblLook w:val="04A0"/>
        </w:tblPrEx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25BF47C8" w14:textId="77777777">
            <w:r>
              <w:rPr>
                <w:b/>
              </w:rPr>
              <w:t>Methodological Reliability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3631823A" w14:textId="77777777">
            <w:r>
              <w:t>Good, but major issues require correction</w:t>
            </w:r>
          </w:p>
        </w:tc>
      </w:tr>
      <w:tr w14:paraId="3465F051" w14:textId="77777777">
        <w:tblPrEx>
          <w:tblW w:w="0" w:type="auto"/>
          <w:tblLook w:val="04A0"/>
        </w:tblPrEx>
        <w:tc>
          <w:tcPr>
            <w:tcW w:w="508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3824E0AF" w14:textId="77777777">
            <w:r>
              <w:rPr>
                <w:b/>
              </w:rPr>
              <w:t>Recommendation</w:t>
            </w:r>
          </w:p>
        </w:tc>
        <w:tc>
          <w:tcPr>
            <w:tcW w:w="50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D576A" w14:paraId="79CC79B4" w14:textId="77777777">
            <w:r>
              <w:rPr>
                <w:b/>
              </w:rPr>
              <w:t>MAJOR REVISION</w:t>
            </w:r>
          </w:p>
        </w:tc>
      </w:tr>
    </w:tbl>
    <w:p w:rsidR="003D576A" w14:paraId="45C12C11" w14:textId="77777777">
      <w:pPr>
        <w:spacing w:before="120"/>
      </w:pPr>
      <w:r>
        <w:rPr>
          <w:b/>
        </w:rPr>
        <w:t xml:space="preserve">Priority revisions before acceptance: </w:t>
      </w:r>
      <w:r>
        <w:t>resolve the cross-validation inconsistency; rule out clinical-information leakage; revise the prognostic claims; and strengthen agreement, equivalence, and uncertainty analyses.</w:t>
      </w:r>
    </w:p>
    <w:p w:rsidR="003D576A" w14:paraId="1EC45D72" w14:textId="77777777">
      <w:pPr>
        <w:keepNext/>
        <w:spacing w:before="80"/>
        <w:rPr>
          <w:b/>
          <w:color w:val="C00000"/>
          <w:sz w:val="23"/>
        </w:rPr>
      </w:pPr>
      <w:r>
        <w:rPr>
          <w:b/>
          <w:color w:val="C00000"/>
          <w:sz w:val="23"/>
        </w:rPr>
        <w:t>Reviewer Recommendation: MAJOR REVISION</w:t>
      </w:r>
    </w:p>
    <w:p w:rsidR="004C6DB6" w14:paraId="01443945" w14:textId="77777777">
      <w:pPr>
        <w:keepNext/>
        <w:spacing w:before="80"/>
        <w:rPr>
          <w:b/>
          <w:color w:val="C00000"/>
          <w:sz w:val="23"/>
        </w:rPr>
      </w:pPr>
    </w:p>
    <w:p w:rsidR="004C6DB6" w14:paraId="41011069" w14:textId="77777777">
      <w:pPr>
        <w:keepNext/>
        <w:spacing w:before="80"/>
        <w:rPr>
          <w:b/>
          <w:color w:val="C00000"/>
          <w:sz w:val="23"/>
        </w:rPr>
      </w:pPr>
    </w:p>
    <w:p w:rsidR="004C6DB6" w14:paraId="77174225" w14:textId="77777777">
      <w:pPr>
        <w:keepNext/>
        <w:spacing w:before="80"/>
        <w:rPr>
          <w:b/>
          <w:color w:val="C00000"/>
          <w:sz w:val="23"/>
        </w:rPr>
      </w:pPr>
    </w:p>
    <w:p w:rsidR="004C6DB6" w14:paraId="18E90613" w14:textId="77777777">
      <w:pPr>
        <w:keepNext/>
        <w:spacing w:before="80"/>
        <w:rPr>
          <w:b/>
          <w:color w:val="C00000"/>
          <w:sz w:val="23"/>
        </w:rPr>
      </w:pPr>
    </w:p>
    <w:p w:rsidR="004C6DB6" w14:paraId="540EE8D4" w14:textId="77777777">
      <w:pPr>
        <w:keepNext/>
        <w:spacing w:before="80"/>
        <w:rPr>
          <w:b/>
          <w:color w:val="C00000"/>
          <w:sz w:val="23"/>
        </w:rPr>
      </w:pPr>
    </w:p>
    <w:p w:rsidR="004C6DB6" w14:paraId="32ED1011" w14:textId="77777777">
      <w:pPr>
        <w:keepNext/>
        <w:spacing w:before="80"/>
        <w:rPr>
          <w:b/>
          <w:color w:val="C00000"/>
          <w:sz w:val="23"/>
        </w:rPr>
      </w:pPr>
    </w:p>
    <w:p w:rsidR="004C6DB6" w14:paraId="29DAA7B4" w14:textId="77777777">
      <w:pPr>
        <w:keepNext/>
        <w:spacing w:before="80"/>
        <w:rPr>
          <w:b/>
          <w:color w:val="C00000"/>
          <w:sz w:val="23"/>
        </w:rPr>
      </w:pPr>
    </w:p>
    <w:p w:rsidR="004C6DB6" w:rsidRPr="004C6DB6" w:rsidP="004C6DB6" w14:paraId="43BADBE9" w14:textId="05AC6368">
      <w:pPr>
        <w:keepNext/>
        <w:spacing w:before="80"/>
        <w:jc w:val="center"/>
        <w:rPr>
          <w:sz w:val="37"/>
          <w:szCs w:val="38"/>
        </w:rPr>
      </w:pPr>
      <w:r w:rsidRPr="004C6DB6">
        <w:rPr>
          <w:b/>
          <w:color w:val="C00000"/>
          <w:sz w:val="39"/>
          <w:szCs w:val="38"/>
        </w:rPr>
        <w:t>Mushtaq Talib Ajjah</w:t>
      </w:r>
    </w:p>
    <w:sectPr w:rsidSect="00034616">
      <w:footerReference w:type="default" r:id="rId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D576A" w14:paraId="1B5D151B" w14:textId="77777777">
    <w:pPr>
      <w:pStyle w:val="Footer"/>
      <w:jc w:val="center"/>
    </w:pPr>
    <w:r>
      <w:rPr>
        <w:color w:val="646464"/>
        <w:sz w:val="16"/>
      </w:rPr>
      <w:t>Reviewer Evaluation - BMEF-D-26-00169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511856">
    <w:abstractNumId w:val="8"/>
  </w:num>
  <w:num w:numId="2" w16cid:durableId="623317651">
    <w:abstractNumId w:val="6"/>
  </w:num>
  <w:num w:numId="3" w16cid:durableId="2047244588">
    <w:abstractNumId w:val="5"/>
  </w:num>
  <w:num w:numId="4" w16cid:durableId="1909073708">
    <w:abstractNumId w:val="4"/>
  </w:num>
  <w:num w:numId="5" w16cid:durableId="1571381154">
    <w:abstractNumId w:val="7"/>
  </w:num>
  <w:num w:numId="6" w16cid:durableId="659187895">
    <w:abstractNumId w:val="3"/>
  </w:num>
  <w:num w:numId="7" w16cid:durableId="814948752">
    <w:abstractNumId w:val="2"/>
  </w:num>
  <w:num w:numId="8" w16cid:durableId="2002347443">
    <w:abstractNumId w:val="1"/>
  </w:num>
  <w:num w:numId="9" w16cid:durableId="32960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224"/>
    <w:rsid w:val="0006063C"/>
    <w:rsid w:val="0015074B"/>
    <w:rsid w:val="0029639D"/>
    <w:rsid w:val="00326F90"/>
    <w:rsid w:val="003D576A"/>
    <w:rsid w:val="00413EB8"/>
    <w:rsid w:val="004C6DB6"/>
    <w:rsid w:val="00870977"/>
    <w:rsid w:val="00AA1D8D"/>
    <w:rsid w:val="00B47730"/>
    <w:rsid w:val="00CB0664"/>
    <w:rsid w:val="00FC693F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4:docId w14:val="0B84FE2C"/>
  <w15:docId w15:val="{A73C18B1-8147-455C-87A3-D2091E7C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