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72"/>
          <w:lang w:val="en-US" w:eastAsia="zh-CN"/>
        </w:rPr>
      </w:pPr>
      <w:r>
        <w:rPr>
          <w:rFonts w:hint="eastAsia"/>
          <w:sz w:val="52"/>
          <w:szCs w:val="72"/>
          <w:lang w:val="en-US" w:eastAsia="zh-CN"/>
        </w:rPr>
        <w:t>13</w:t>
      </w:r>
      <w:r>
        <w:rPr>
          <w:rFonts w:hint="eastAsia"/>
          <w:sz w:val="52"/>
          <w:szCs w:val="72"/>
          <w:vertAlign w:val="superscript"/>
          <w:lang w:val="en-US" w:eastAsia="zh-CN"/>
        </w:rPr>
        <w:t>th</w:t>
      </w:r>
      <w:r>
        <w:rPr>
          <w:rFonts w:hint="eastAsia"/>
          <w:sz w:val="52"/>
          <w:szCs w:val="72"/>
          <w:lang w:val="en-US" w:eastAsia="zh-CN"/>
        </w:rPr>
        <w:t xml:space="preserve"> ICAMDATA</w:t>
      </w:r>
    </w:p>
    <w:p>
      <w:pPr>
        <w:jc w:val="center"/>
        <w:rPr>
          <w:rFonts w:hint="default"/>
          <w:sz w:val="52"/>
          <w:szCs w:val="72"/>
          <w:lang w:val="en-US" w:eastAsia="zh-CN"/>
        </w:rPr>
      </w:pPr>
      <w:r>
        <w:rPr>
          <w:rFonts w:hint="eastAsia"/>
          <w:sz w:val="21"/>
          <w:szCs w:val="24"/>
          <w:lang w:val="en-US" w:eastAsia="zh-CN"/>
        </w:rPr>
        <w:t>Sep.15-19, 2024, Lanzhou, China</w:t>
      </w:r>
    </w:p>
    <w:p>
      <w:pPr>
        <w:pStyle w:val="2"/>
        <w:bidi w:val="0"/>
        <w:rPr>
          <w:rFonts w:hint="eastAsia"/>
          <w:lang w:val="en-US" w:eastAsia="zh-CN"/>
        </w:rPr>
      </w:pPr>
      <w:r>
        <w:rPr>
          <w:rFonts w:hint="eastAsia"/>
          <w:lang w:val="en-US" w:eastAsia="zh-CN"/>
        </w:rPr>
        <w:t>Home</w:t>
      </w:r>
    </w:p>
    <w:p>
      <w:pPr>
        <w:jc w:val="left"/>
        <w:rPr>
          <w:rFonts w:hint="default"/>
          <w:lang w:val="en-US" w:eastAsia="zh-CN"/>
        </w:rPr>
      </w:pPr>
      <w:r>
        <w:rPr>
          <w:rFonts w:hint="default"/>
          <w:lang w:val="en-US" w:eastAsia="zh-CN"/>
        </w:rPr>
        <w:t>The International Conference on Atomic and Molecular Data and Their Applications (ICAMDATA) is a continuing series of international conferences that promotes the use of atomic and molecular (AM) data in various fields of science and technology, providing a forum for interaction of AM data producers and users and for information exchange on AM data needs and availability, and fostering the cross-disciplinary cooperation between the AM data producers and users and the coordination of AM data activities and databases worldwide.</w:t>
      </w:r>
    </w:p>
    <w:p>
      <w:pPr>
        <w:jc w:val="left"/>
        <w:rPr>
          <w:rFonts w:hint="default"/>
          <w:lang w:val="en-US" w:eastAsia="zh-CN"/>
        </w:rPr>
      </w:pPr>
    </w:p>
    <w:p>
      <w:pPr>
        <w:jc w:val="left"/>
        <w:rPr>
          <w:rFonts w:hint="default"/>
          <w:lang w:val="en-US" w:eastAsia="zh-CN"/>
        </w:rPr>
      </w:pPr>
      <w:r>
        <w:rPr>
          <w:rFonts w:hint="default"/>
          <w:lang w:val="en-US" w:eastAsia="zh-CN"/>
        </w:rPr>
        <w:t>The topics covered by the Conference are</w:t>
      </w:r>
    </w:p>
    <w:p>
      <w:pPr>
        <w:numPr>
          <w:ilvl w:val="0"/>
          <w:numId w:val="1"/>
        </w:numPr>
        <w:jc w:val="left"/>
        <w:rPr>
          <w:rFonts w:hint="default"/>
          <w:lang w:val="en-US" w:eastAsia="zh-CN"/>
        </w:rPr>
      </w:pPr>
      <w:r>
        <w:rPr>
          <w:rFonts w:hint="default"/>
          <w:lang w:val="en-US" w:eastAsia="zh-CN"/>
        </w:rPr>
        <w:t>Application and needs of atomic and molecular data</w:t>
      </w:r>
    </w:p>
    <w:p>
      <w:pPr>
        <w:numPr>
          <w:ilvl w:val="0"/>
          <w:numId w:val="2"/>
        </w:numPr>
        <w:ind w:left="840" w:leftChars="0" w:hanging="420" w:firstLineChars="0"/>
        <w:jc w:val="left"/>
        <w:rPr>
          <w:rFonts w:hint="default"/>
          <w:lang w:val="en-US" w:eastAsia="zh-CN"/>
        </w:rPr>
      </w:pPr>
      <w:r>
        <w:rPr>
          <w:rFonts w:hint="default"/>
          <w:lang w:val="en-US" w:eastAsia="zh-CN"/>
        </w:rPr>
        <w:t>Astrophysics and atmospheric physics</w:t>
      </w:r>
    </w:p>
    <w:p>
      <w:pPr>
        <w:numPr>
          <w:ilvl w:val="0"/>
          <w:numId w:val="2"/>
        </w:numPr>
        <w:ind w:left="840" w:leftChars="0" w:hanging="420" w:firstLineChars="0"/>
        <w:jc w:val="left"/>
        <w:rPr>
          <w:rFonts w:hint="default"/>
          <w:lang w:val="en-US" w:eastAsia="zh-CN"/>
        </w:rPr>
      </w:pPr>
      <w:r>
        <w:rPr>
          <w:rFonts w:hint="default"/>
          <w:lang w:val="en-US" w:eastAsia="zh-CN"/>
        </w:rPr>
        <w:t>Inertial and magnetic fusion</w:t>
      </w:r>
    </w:p>
    <w:p>
      <w:pPr>
        <w:numPr>
          <w:ilvl w:val="0"/>
          <w:numId w:val="2"/>
        </w:numPr>
        <w:ind w:left="840" w:leftChars="0" w:hanging="420" w:firstLineChars="0"/>
        <w:jc w:val="left"/>
        <w:rPr>
          <w:rFonts w:hint="default"/>
          <w:lang w:val="en-US" w:eastAsia="zh-CN"/>
        </w:rPr>
      </w:pPr>
      <w:r>
        <w:rPr>
          <w:rFonts w:hint="default"/>
          <w:lang w:val="en-US" w:eastAsia="zh-CN"/>
        </w:rPr>
        <w:t>Low and high temperature laboratory plasma and industrial plasmas</w:t>
      </w:r>
    </w:p>
    <w:p>
      <w:pPr>
        <w:numPr>
          <w:ilvl w:val="0"/>
          <w:numId w:val="2"/>
        </w:numPr>
        <w:ind w:left="840" w:leftChars="0" w:hanging="420" w:firstLineChars="0"/>
        <w:jc w:val="left"/>
        <w:rPr>
          <w:rFonts w:hint="default"/>
          <w:lang w:val="en-US" w:eastAsia="zh-CN"/>
        </w:rPr>
      </w:pPr>
      <w:r>
        <w:rPr>
          <w:rFonts w:hint="default"/>
          <w:lang w:val="en-US" w:eastAsia="zh-CN"/>
        </w:rPr>
        <w:t>Lighting sciences and technology</w:t>
      </w:r>
    </w:p>
    <w:p>
      <w:pPr>
        <w:numPr>
          <w:ilvl w:val="0"/>
          <w:numId w:val="2"/>
        </w:numPr>
        <w:ind w:left="840" w:leftChars="0" w:hanging="420" w:firstLineChars="0"/>
        <w:jc w:val="left"/>
        <w:rPr>
          <w:rFonts w:hint="default"/>
          <w:lang w:val="en-US" w:eastAsia="zh-CN"/>
        </w:rPr>
      </w:pPr>
      <w:r>
        <w:rPr>
          <w:rFonts w:hint="default"/>
          <w:lang w:val="en-US" w:eastAsia="zh-CN"/>
        </w:rPr>
        <w:t>Biomedicine and biophysics</w:t>
      </w:r>
    </w:p>
    <w:p>
      <w:pPr>
        <w:numPr>
          <w:ilvl w:val="0"/>
          <w:numId w:val="2"/>
        </w:numPr>
        <w:ind w:left="840" w:leftChars="0" w:hanging="420" w:firstLineChars="0"/>
        <w:jc w:val="left"/>
        <w:rPr>
          <w:rFonts w:hint="default"/>
          <w:lang w:val="en-US" w:eastAsia="zh-CN"/>
        </w:rPr>
      </w:pPr>
      <w:r>
        <w:rPr>
          <w:rFonts w:hint="default"/>
          <w:lang w:val="en-US" w:eastAsia="zh-CN"/>
        </w:rPr>
        <w:t>Combustion and environmental sciences and technology</w:t>
      </w:r>
    </w:p>
    <w:p>
      <w:pPr>
        <w:numPr>
          <w:ilvl w:val="0"/>
          <w:numId w:val="2"/>
        </w:numPr>
        <w:ind w:left="840" w:leftChars="0" w:hanging="420" w:firstLineChars="0"/>
        <w:jc w:val="left"/>
        <w:rPr>
          <w:rFonts w:hint="default"/>
          <w:lang w:val="en-US" w:eastAsia="zh-CN"/>
        </w:rPr>
      </w:pPr>
      <w:r>
        <w:rPr>
          <w:rFonts w:hint="default"/>
          <w:lang w:val="en-US" w:eastAsia="zh-CN"/>
        </w:rPr>
        <w:t>Surface physics, gaseous electronics, solid state optics and spectroscopy, optoelectronics, etc.</w:t>
      </w:r>
    </w:p>
    <w:p>
      <w:pPr>
        <w:numPr>
          <w:ilvl w:val="0"/>
          <w:numId w:val="1"/>
        </w:numPr>
        <w:ind w:left="0" w:leftChars="0" w:firstLine="0" w:firstLineChars="0"/>
        <w:jc w:val="left"/>
        <w:rPr>
          <w:rFonts w:hint="default"/>
          <w:lang w:val="en-US" w:eastAsia="zh-CN"/>
        </w:rPr>
      </w:pPr>
      <w:r>
        <w:rPr>
          <w:rFonts w:hint="default"/>
          <w:lang w:val="en-US" w:eastAsia="zh-CN"/>
        </w:rPr>
        <w:t>Atomic and molecular data production</w:t>
      </w:r>
    </w:p>
    <w:p>
      <w:pPr>
        <w:numPr>
          <w:ilvl w:val="0"/>
          <w:numId w:val="3"/>
        </w:numPr>
        <w:ind w:left="840" w:leftChars="0" w:hanging="420" w:firstLineChars="0"/>
        <w:jc w:val="left"/>
        <w:rPr>
          <w:rFonts w:hint="default"/>
          <w:lang w:val="en-US" w:eastAsia="zh-CN"/>
        </w:rPr>
      </w:pPr>
      <w:r>
        <w:rPr>
          <w:rFonts w:hint="default"/>
          <w:lang w:val="en-US" w:eastAsia="zh-CN"/>
        </w:rPr>
        <w:t>Data collection, assessment, exchange and dissemination</w:t>
      </w:r>
    </w:p>
    <w:p>
      <w:pPr>
        <w:numPr>
          <w:ilvl w:val="0"/>
          <w:numId w:val="3"/>
        </w:numPr>
        <w:ind w:left="840" w:leftChars="0" w:hanging="420" w:firstLineChars="0"/>
        <w:jc w:val="left"/>
        <w:rPr>
          <w:rFonts w:hint="default"/>
          <w:lang w:val="en-US" w:eastAsia="zh-CN"/>
        </w:rPr>
      </w:pPr>
      <w:r>
        <w:rPr>
          <w:rFonts w:hint="default"/>
          <w:lang w:val="en-US" w:eastAsia="zh-CN"/>
        </w:rPr>
        <w:t>Standardization of data formats</w:t>
      </w:r>
    </w:p>
    <w:p>
      <w:pPr>
        <w:numPr>
          <w:ilvl w:val="0"/>
          <w:numId w:val="3"/>
        </w:numPr>
        <w:ind w:left="840" w:leftChars="0" w:hanging="420" w:firstLineChars="0"/>
        <w:jc w:val="left"/>
        <w:rPr>
          <w:rFonts w:hint="default"/>
          <w:lang w:val="en-US" w:eastAsia="zh-CN"/>
        </w:rPr>
      </w:pPr>
      <w:r>
        <w:rPr>
          <w:rFonts w:hint="default"/>
          <w:lang w:val="en-US" w:eastAsia="zh-CN"/>
        </w:rPr>
        <w:t>AM databases, activities of data centers</w:t>
      </w:r>
    </w:p>
    <w:p>
      <w:pPr>
        <w:jc w:val="left"/>
        <w:rPr>
          <w:rFonts w:hint="default"/>
          <w:lang w:val="en-US" w:eastAsia="zh-CN"/>
        </w:rPr>
      </w:pPr>
    </w:p>
    <w:p>
      <w:pPr>
        <w:numPr>
          <w:ilvl w:val="0"/>
          <w:numId w:val="1"/>
        </w:numPr>
        <w:ind w:left="0" w:leftChars="0" w:firstLine="0" w:firstLineChars="0"/>
        <w:jc w:val="left"/>
        <w:rPr>
          <w:rFonts w:hint="default"/>
          <w:lang w:val="en-US" w:eastAsia="zh-CN"/>
        </w:rPr>
      </w:pPr>
      <w:r>
        <w:rPr>
          <w:rFonts w:hint="default"/>
          <w:lang w:val="en-US" w:eastAsia="zh-CN"/>
        </w:rPr>
        <w:t>Experimental and theoretical methods for atomic and molecular data generation</w:t>
      </w:r>
    </w:p>
    <w:p>
      <w:pPr>
        <w:numPr>
          <w:ilvl w:val="0"/>
          <w:numId w:val="4"/>
        </w:numPr>
        <w:ind w:left="840" w:leftChars="0" w:hanging="420" w:firstLineChars="0"/>
        <w:jc w:val="left"/>
        <w:rPr>
          <w:rFonts w:hint="default"/>
          <w:lang w:val="en-US" w:eastAsia="zh-CN"/>
        </w:rPr>
      </w:pPr>
      <w:r>
        <w:rPr>
          <w:rFonts w:hint="default"/>
          <w:lang w:val="en-US" w:eastAsia="zh-CN"/>
        </w:rPr>
        <w:t>Atomic and molecular structure, spectroscopy and radiative processes</w:t>
      </w:r>
    </w:p>
    <w:p>
      <w:pPr>
        <w:numPr>
          <w:ilvl w:val="0"/>
          <w:numId w:val="4"/>
        </w:numPr>
        <w:ind w:left="840" w:leftChars="0" w:hanging="420" w:firstLineChars="0"/>
        <w:jc w:val="left"/>
        <w:rPr>
          <w:rFonts w:hint="default"/>
          <w:lang w:val="en-US" w:eastAsia="zh-CN"/>
        </w:rPr>
      </w:pPr>
      <w:r>
        <w:rPr>
          <w:rFonts w:hint="default"/>
          <w:lang w:val="en-US" w:eastAsia="zh-CN"/>
        </w:rPr>
        <w:t>Electron and photon collisions with atoms and molecules</w:t>
      </w:r>
    </w:p>
    <w:p>
      <w:pPr>
        <w:numPr>
          <w:ilvl w:val="0"/>
          <w:numId w:val="4"/>
        </w:numPr>
        <w:ind w:left="840" w:leftChars="0" w:hanging="420" w:firstLineChars="0"/>
        <w:jc w:val="left"/>
        <w:rPr>
          <w:rFonts w:hint="default"/>
          <w:lang w:val="en-US" w:eastAsia="zh-CN"/>
        </w:rPr>
      </w:pPr>
      <w:r>
        <w:rPr>
          <w:rFonts w:hint="default"/>
          <w:lang w:val="en-US" w:eastAsia="zh-CN"/>
        </w:rPr>
        <w:t>Heavy particle collisions</w:t>
      </w:r>
    </w:p>
    <w:p>
      <w:pPr>
        <w:numPr>
          <w:ilvl w:val="0"/>
          <w:numId w:val="4"/>
        </w:numPr>
        <w:ind w:left="840" w:leftChars="0" w:hanging="420" w:firstLineChars="0"/>
        <w:jc w:val="left"/>
        <w:rPr>
          <w:rFonts w:hint="default"/>
          <w:lang w:val="en-US" w:eastAsia="zh-CN"/>
        </w:rPr>
      </w:pPr>
      <w:r>
        <w:rPr>
          <w:rFonts w:hint="default"/>
          <w:lang w:val="en-US" w:eastAsia="zh-CN"/>
        </w:rPr>
        <w:t>Particle-surface interactions.</w:t>
      </w: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default"/>
          <w:lang w:val="en-US" w:eastAsia="zh-CN"/>
        </w:rPr>
        <w:t>The scientific programme will include invited and contributed talks in the regular sessions, a poster session and special sessions devoted to uncertainty quantification and database demonstrations.</w:t>
      </w:r>
    </w:p>
    <w:p>
      <w:pPr>
        <w:jc w:val="left"/>
        <w:rPr>
          <w:rFonts w:hint="default"/>
          <w:lang w:val="en-US" w:eastAsia="zh-CN"/>
        </w:rPr>
      </w:pPr>
    </w:p>
    <w:p>
      <w:pPr>
        <w:jc w:val="left"/>
        <w:rPr>
          <w:rFonts w:hint="default"/>
          <w:lang w:val="en-US" w:eastAsia="zh-CN"/>
        </w:rPr>
      </w:pPr>
      <w:r>
        <w:rPr>
          <w:rFonts w:hint="default"/>
          <w:lang w:val="en-US" w:eastAsia="zh-CN"/>
        </w:rPr>
        <w:t>1</w:t>
      </w:r>
      <w:r>
        <w:rPr>
          <w:rFonts w:hint="eastAsia"/>
          <w:lang w:val="en-US" w:eastAsia="zh-CN"/>
        </w:rPr>
        <w:t>3</w:t>
      </w:r>
      <w:r>
        <w:rPr>
          <w:rFonts w:hint="default"/>
          <w:lang w:val="en-US" w:eastAsia="zh-CN"/>
        </w:rPr>
        <w:t xml:space="preserve">th ICAMDATA, hosted by the </w:t>
      </w:r>
      <w:r>
        <w:rPr>
          <w:rFonts w:hint="eastAsia"/>
          <w:lang w:val="en-US" w:eastAsia="zh-CN"/>
        </w:rPr>
        <w:t>NWNU</w:t>
      </w:r>
      <w:r>
        <w:rPr>
          <w:rFonts w:hint="default"/>
          <w:lang w:val="en-US" w:eastAsia="zh-CN"/>
        </w:rPr>
        <w:t xml:space="preserve"> (</w:t>
      </w:r>
      <w:r>
        <w:rPr>
          <w:rFonts w:hint="eastAsia"/>
          <w:lang w:val="en-US" w:eastAsia="zh-CN"/>
        </w:rPr>
        <w:t>Northwest Normal University, China</w:t>
      </w:r>
      <w:r>
        <w:rPr>
          <w:rFonts w:hint="default"/>
          <w:lang w:val="en-US" w:eastAsia="zh-CN"/>
        </w:rPr>
        <w:t>)</w:t>
      </w:r>
      <w:r>
        <w:rPr>
          <w:rFonts w:hint="eastAsia"/>
          <w:lang w:val="en-US" w:eastAsia="zh-CN"/>
        </w:rPr>
        <w:t xml:space="preserve"> in Lanzhou, China</w:t>
      </w:r>
      <w:r>
        <w:rPr>
          <w:rFonts w:hint="default"/>
          <w:lang w:val="en-US" w:eastAsia="zh-CN"/>
        </w:rPr>
        <w:t>, is organized in cooperation with the International Atomic Energy Agency (IAEA)</w:t>
      </w:r>
      <w:r>
        <w:rPr>
          <w:rFonts w:hint="eastAsia"/>
          <w:lang w:val="en-US" w:eastAsia="zh-CN"/>
        </w:rPr>
        <w:t>.</w:t>
      </w:r>
      <w:r>
        <w:rPr>
          <w:rFonts w:hint="default"/>
          <w:lang w:val="en-US" w:eastAsia="zh-CN"/>
        </w:rPr>
        <w:t xml:space="preserve"> </w:t>
      </w:r>
    </w:p>
    <w:p>
      <w:pPr>
        <w:jc w:val="left"/>
        <w:rPr>
          <w:rFonts w:ascii="宋体" w:hAnsi="宋体" w:eastAsia="宋体" w:cs="宋体"/>
          <w:sz w:val="24"/>
          <w:szCs w:val="24"/>
        </w:rPr>
      </w:pPr>
      <w:r>
        <w:drawing>
          <wp:inline distT="0" distB="0" distL="114300" distR="114300">
            <wp:extent cx="5261610" cy="1360805"/>
            <wp:effectExtent l="0" t="0" r="15240"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5261610" cy="1360805"/>
                    </a:xfrm>
                    <a:prstGeom prst="rect">
                      <a:avLst/>
                    </a:prstGeom>
                    <a:noFill/>
                    <a:ln>
                      <a:noFill/>
                    </a:ln>
                  </pic:spPr>
                </pic:pic>
              </a:graphicData>
            </a:graphic>
          </wp:inline>
        </w:drawing>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5543550" cy="89535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5"/>
                    <a:stretch>
                      <a:fillRect/>
                    </a:stretch>
                  </pic:blipFill>
                  <pic:spPr>
                    <a:xfrm>
                      <a:off x="0" y="0"/>
                      <a:ext cx="5543550" cy="895350"/>
                    </a:xfrm>
                    <a:prstGeom prst="rect">
                      <a:avLst/>
                    </a:prstGeom>
                    <a:noFill/>
                    <a:ln w="9525">
                      <a:noFill/>
                    </a:ln>
                  </pic:spPr>
                </pic:pic>
              </a:graphicData>
            </a:graphic>
          </wp:inline>
        </w:drawing>
      </w:r>
    </w:p>
    <w:p>
      <w:pPr>
        <w:jc w:val="left"/>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286250" cy="876300"/>
            <wp:effectExtent l="0" t="0" r="0"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286250" cy="876300"/>
                    </a:xfrm>
                    <a:prstGeom prst="rect">
                      <a:avLst/>
                    </a:prstGeom>
                    <a:noFill/>
                    <a:ln w="9525">
                      <a:noFill/>
                    </a:ln>
                  </pic:spPr>
                </pic:pic>
              </a:graphicData>
            </a:graphic>
          </wp:inline>
        </w:drawing>
      </w:r>
    </w:p>
    <w:p>
      <w:pPr>
        <w:jc w:val="left"/>
        <w:rPr>
          <w:rFonts w:hint="default"/>
          <w:lang w:val="en-US" w:eastAsia="zh-CN"/>
        </w:rPr>
      </w:pPr>
      <w:r>
        <w:rPr>
          <w:rFonts w:hint="eastAsia"/>
          <w:highlight w:val="yellow"/>
          <w:lang w:val="en-US" w:eastAsia="zh-CN"/>
        </w:rPr>
        <w:t>(赞助商信息暂时可以不放)</w:t>
      </w:r>
      <w:r>
        <w:rPr>
          <w:rFonts w:hint="default"/>
          <w:highlight w:val="yellow"/>
          <w:lang w:val="en-US" w:eastAsia="zh-CN"/>
        </w:rPr>
        <w:t>with the patronage of the Institute for Plasma Science and Technology (ISTP), of the Polytechnic of Bari and of the Municipality of Mola di Bari, and the event is sponsored by Smithsonian Astrophysical Observatory (SAO) and the MDPI Journal Entropy</w:t>
      </w:r>
      <w:r>
        <w:rPr>
          <w:rFonts w:hint="default"/>
          <w:lang w:val="en-US" w:eastAsia="zh-CN"/>
        </w:rPr>
        <w:t>.</w:t>
      </w:r>
    </w:p>
    <w:p>
      <w:pPr>
        <w:pStyle w:val="2"/>
        <w:bidi w:val="0"/>
        <w:rPr>
          <w:rFonts w:hint="eastAsia"/>
          <w:lang w:val="en-US" w:eastAsia="zh-CN"/>
        </w:rPr>
      </w:pPr>
      <w:r>
        <w:rPr>
          <w:rFonts w:hint="eastAsia"/>
          <w:lang w:val="en-US" w:eastAsia="zh-CN"/>
        </w:rPr>
        <w:t>Committees</w:t>
      </w:r>
    </w:p>
    <w:p>
      <w:pPr>
        <w:jc w:val="left"/>
        <w:rPr>
          <w:rFonts w:hint="eastAsia"/>
          <w:lang w:val="en-US" w:eastAsia="zh-CN"/>
        </w:rPr>
      </w:pPr>
      <w:r>
        <w:rPr>
          <w:rFonts w:hint="eastAsia"/>
          <w:lang w:val="en-US" w:eastAsia="zh-CN"/>
        </w:rPr>
        <w:t>International Program Committee</w:t>
      </w:r>
    </w:p>
    <w:p>
      <w:pPr>
        <w:jc w:val="left"/>
        <w:rPr>
          <w:rFonts w:hint="eastAsia"/>
          <w:lang w:val="en-US" w:eastAsia="zh-CN"/>
        </w:rPr>
      </w:pPr>
    </w:p>
    <w:tbl>
      <w:tblPr>
        <w:tblStyle w:val="5"/>
        <w:tblW w:w="87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46"/>
        <w:gridCol w:w="4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4401" w:type="dxa"/>
            <w:shd w:val="clear" w:color="auto" w:fill="auto"/>
            <w:vAlign w:val="center"/>
          </w:tcPr>
          <w:p>
            <w:pPr>
              <w:keepNext w:val="0"/>
              <w:keepLines w:val="0"/>
              <w:widowControl/>
              <w:suppressLineNumbers w:val="0"/>
              <w:jc w:val="left"/>
              <w:rPr>
                <w:rFonts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James Babb, US</w:t>
            </w:r>
          </w:p>
        </w:tc>
        <w:tc>
          <w:tcPr>
            <w:tcW w:w="4299" w:type="dxa"/>
            <w:shd w:val="clear" w:color="auto" w:fill="auto"/>
            <w:vAlign w:val="center"/>
          </w:tcPr>
          <w:p>
            <w:pPr>
              <w:keepNext w:val="0"/>
              <w:keepLines w:val="0"/>
              <w:widowControl/>
              <w:suppressLineNumbers w:val="0"/>
              <w:jc w:val="righ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Jelle Kaastra, Netherlands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401" w:type="dxa"/>
            <w:shd w:val="clear" w:color="auto" w:fill="auto"/>
            <w:vAlign w:val="center"/>
          </w:tcPr>
          <w:p>
            <w:pPr>
              <w:keepNext w:val="0"/>
              <w:keepLines w:val="0"/>
              <w:widowControl/>
              <w:suppressLineNumbers w:val="0"/>
              <w:jc w:val="lef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Beatriz Barbuy, Brazil</w:t>
            </w:r>
          </w:p>
        </w:tc>
        <w:tc>
          <w:tcPr>
            <w:tcW w:w="4299" w:type="dxa"/>
            <w:shd w:val="clear" w:color="auto" w:fill="auto"/>
            <w:vAlign w:val="center"/>
          </w:tcPr>
          <w:p>
            <w:pPr>
              <w:keepNext w:val="0"/>
              <w:keepLines w:val="0"/>
              <w:widowControl/>
              <w:suppressLineNumbers w:val="0"/>
              <w:jc w:val="righ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Annarita Laricchiuta, Italy (</w:t>
            </w:r>
            <w:r>
              <w:rPr>
                <w:rFonts w:hint="eastAsia" w:ascii="Verdana" w:hAnsi="Verdana" w:eastAsia="Verdana" w:cs="Verdana"/>
                <w:i w:val="0"/>
                <w:iCs w:val="0"/>
                <w:caps w:val="0"/>
                <w:color w:val="000000"/>
                <w:spacing w:val="0"/>
                <w:kern w:val="0"/>
                <w:sz w:val="16"/>
                <w:szCs w:val="16"/>
                <w:lang w:val="en-US" w:eastAsia="zh-CN" w:bidi="ar"/>
              </w:rPr>
              <w:t xml:space="preserve">Past </w:t>
            </w:r>
            <w:r>
              <w:rPr>
                <w:rFonts w:hint="default" w:ascii="Verdana" w:hAnsi="Verdana" w:eastAsia="Verdana" w:cs="Verdana"/>
                <w:i w:val="0"/>
                <w:iCs w:val="0"/>
                <w:caps w:val="0"/>
                <w:color w:val="000000"/>
                <w:spacing w:val="0"/>
                <w:kern w:val="0"/>
                <w:sz w:val="16"/>
                <w:szCs w:val="16"/>
                <w:lang w:val="en-US" w:eastAsia="zh-CN" w:bidi="ar"/>
              </w:rPr>
              <w:t>Chair)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401" w:type="dxa"/>
            <w:shd w:val="clear" w:color="auto" w:fill="auto"/>
            <w:vAlign w:val="center"/>
          </w:tcPr>
          <w:p>
            <w:pPr>
              <w:keepNext w:val="0"/>
              <w:keepLines w:val="0"/>
              <w:widowControl/>
              <w:suppressLineNumbers w:val="0"/>
              <w:jc w:val="lef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Jacek Bieroń, Poland</w:t>
            </w:r>
          </w:p>
        </w:tc>
        <w:tc>
          <w:tcPr>
            <w:tcW w:w="4299" w:type="dxa"/>
            <w:shd w:val="clear" w:color="auto" w:fill="auto"/>
            <w:vAlign w:val="center"/>
          </w:tcPr>
          <w:p>
            <w:pPr>
              <w:keepNext w:val="0"/>
              <w:keepLines w:val="0"/>
              <w:widowControl/>
              <w:suppressLineNumbers w:val="0"/>
              <w:jc w:val="right"/>
              <w:rPr>
                <w:rFonts w:hint="default" w:ascii="Verdana" w:hAnsi="Verdana" w:eastAsia="Verdana" w:cs="Verdana"/>
                <w:i w:val="0"/>
                <w:iCs w:val="0"/>
                <w:caps w:val="0"/>
                <w:color w:val="000000"/>
                <w:spacing w:val="0"/>
                <w:sz w:val="16"/>
                <w:szCs w:val="16"/>
              </w:rPr>
            </w:pPr>
            <w:r>
              <w:rPr>
                <w:rFonts w:hint="eastAsia" w:ascii="Verdana" w:hAnsi="Verdana" w:eastAsia="Verdana" w:cs="Verdana"/>
                <w:i w:val="0"/>
                <w:iCs w:val="0"/>
                <w:caps w:val="0"/>
                <w:color w:val="000000"/>
                <w:spacing w:val="0"/>
                <w:kern w:val="0"/>
                <w:sz w:val="16"/>
                <w:szCs w:val="16"/>
                <w:lang w:val="en-US" w:eastAsia="zh-CN" w:bidi="ar"/>
              </w:rPr>
              <w:t>Daiji Kato</w:t>
            </w:r>
            <w:r>
              <w:rPr>
                <w:rFonts w:hint="default" w:ascii="Verdana" w:hAnsi="Verdana" w:eastAsia="Verdana" w:cs="Verdana"/>
                <w:i w:val="0"/>
                <w:iCs w:val="0"/>
                <w:caps w:val="0"/>
                <w:color w:val="000000"/>
                <w:spacing w:val="0"/>
                <w:kern w:val="0"/>
                <w:sz w:val="16"/>
                <w:szCs w:val="16"/>
                <w:lang w:val="en-US" w:eastAsia="zh-CN" w:bidi="ar"/>
              </w:rPr>
              <w:t>, Japan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401" w:type="dxa"/>
            <w:shd w:val="clear" w:color="auto" w:fill="auto"/>
            <w:vAlign w:val="center"/>
          </w:tcPr>
          <w:p>
            <w:pPr>
              <w:keepNext w:val="0"/>
              <w:keepLines w:val="0"/>
              <w:widowControl/>
              <w:suppressLineNumbers w:val="0"/>
              <w:jc w:val="lef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Dmitry Fursa, Australia</w:t>
            </w:r>
          </w:p>
        </w:tc>
        <w:tc>
          <w:tcPr>
            <w:tcW w:w="4299" w:type="dxa"/>
            <w:shd w:val="clear" w:color="auto" w:fill="auto"/>
            <w:vAlign w:val="center"/>
          </w:tcPr>
          <w:p>
            <w:pPr>
              <w:keepNext w:val="0"/>
              <w:keepLines w:val="0"/>
              <w:widowControl/>
              <w:suppressLineNumbers w:val="0"/>
              <w:jc w:val="righ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Nobuyuki Nakamura, Japan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401" w:type="dxa"/>
            <w:shd w:val="clear" w:color="auto" w:fill="auto"/>
            <w:vAlign w:val="center"/>
          </w:tcPr>
          <w:p>
            <w:pPr>
              <w:keepNext w:val="0"/>
              <w:keepLines w:val="0"/>
              <w:widowControl/>
              <w:suppressLineNumbers w:val="0"/>
              <w:jc w:val="lef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 xml:space="preserve">Nancy Brickhouse, US </w:t>
            </w:r>
          </w:p>
        </w:tc>
        <w:tc>
          <w:tcPr>
            <w:tcW w:w="4299" w:type="dxa"/>
            <w:shd w:val="clear" w:color="auto" w:fill="auto"/>
            <w:vAlign w:val="center"/>
          </w:tcPr>
          <w:p>
            <w:pPr>
              <w:keepNext w:val="0"/>
              <w:keepLines w:val="0"/>
              <w:widowControl/>
              <w:suppressLineNumbers w:val="0"/>
              <w:wordWrap w:val="0"/>
              <w:jc w:val="right"/>
              <w:rPr>
                <w:rFonts w:hint="default" w:ascii="Verdana" w:hAnsi="Verdana" w:eastAsia="宋体" w:cs="Verdana"/>
                <w:i w:val="0"/>
                <w:iCs w:val="0"/>
                <w:caps w:val="0"/>
                <w:color w:val="000000"/>
                <w:spacing w:val="0"/>
                <w:sz w:val="16"/>
                <w:szCs w:val="16"/>
                <w:lang w:val="en-US" w:eastAsia="zh-CN"/>
              </w:rPr>
            </w:pPr>
            <w:r>
              <w:rPr>
                <w:rFonts w:hint="eastAsia" w:ascii="Verdana" w:hAnsi="Verdana" w:eastAsia="宋体" w:cs="Verdana"/>
                <w:i w:val="0"/>
                <w:iCs w:val="0"/>
                <w:caps w:val="0"/>
                <w:color w:val="000000"/>
                <w:spacing w:val="0"/>
                <w:sz w:val="16"/>
                <w:szCs w:val="16"/>
                <w:lang w:val="en-US" w:eastAsia="zh-CN"/>
              </w:rPr>
              <w:t>Yong Wu, China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401" w:type="dxa"/>
            <w:shd w:val="clear" w:color="auto" w:fill="auto"/>
            <w:vAlign w:val="center"/>
          </w:tcPr>
          <w:p>
            <w:pPr>
              <w:keepNext w:val="0"/>
              <w:keepLines w:val="0"/>
              <w:widowControl/>
              <w:suppressLineNumbers w:val="0"/>
              <w:jc w:val="lef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Stuart Loch, US</w:t>
            </w:r>
          </w:p>
        </w:tc>
        <w:tc>
          <w:tcPr>
            <w:tcW w:w="4299" w:type="dxa"/>
            <w:shd w:val="clear" w:color="auto" w:fill="auto"/>
            <w:vAlign w:val="center"/>
          </w:tcPr>
          <w:p>
            <w:pPr>
              <w:keepNext w:val="0"/>
              <w:keepLines w:val="0"/>
              <w:widowControl/>
              <w:suppressLineNumbers w:val="0"/>
              <w:jc w:val="righ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Gerry O'Sullivan, Ireland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4401" w:type="dxa"/>
            <w:shd w:val="clear" w:color="auto" w:fill="auto"/>
            <w:vAlign w:val="center"/>
          </w:tcPr>
          <w:p>
            <w:pPr>
              <w:keepNext w:val="0"/>
              <w:keepLines w:val="0"/>
              <w:widowControl/>
              <w:suppressLineNumbers w:val="0"/>
              <w:jc w:val="left"/>
              <w:rPr>
                <w:rFonts w:hint="default" w:ascii="Verdana" w:hAnsi="Verdana" w:eastAsia="Verdana" w:cs="Verdana"/>
                <w:i w:val="0"/>
                <w:iCs w:val="0"/>
                <w:caps w:val="0"/>
                <w:color w:val="000000"/>
                <w:spacing w:val="0"/>
                <w:sz w:val="16"/>
                <w:szCs w:val="16"/>
                <w:lang w:val="en-US"/>
              </w:rPr>
            </w:pPr>
            <w:r>
              <w:rPr>
                <w:rFonts w:hint="default" w:ascii="Verdana" w:hAnsi="Verdana" w:eastAsia="Verdana" w:cs="Verdana"/>
                <w:i w:val="0"/>
                <w:iCs w:val="0"/>
                <w:caps w:val="0"/>
                <w:color w:val="000000"/>
                <w:spacing w:val="0"/>
                <w:kern w:val="0"/>
                <w:sz w:val="16"/>
                <w:szCs w:val="16"/>
                <w:lang w:val="en-US" w:eastAsia="zh-CN" w:bidi="ar"/>
              </w:rPr>
              <w:t>Chenzhong Dong, China</w:t>
            </w:r>
            <w:r>
              <w:rPr>
                <w:rFonts w:hint="eastAsia" w:ascii="Verdana" w:hAnsi="Verdana" w:eastAsia="Verdana" w:cs="Verdana"/>
                <w:i w:val="0"/>
                <w:iCs w:val="0"/>
                <w:caps w:val="0"/>
                <w:color w:val="000000"/>
                <w:spacing w:val="0"/>
                <w:kern w:val="0"/>
                <w:sz w:val="16"/>
                <w:szCs w:val="16"/>
                <w:lang w:val="en-US" w:eastAsia="zh-CN" w:bidi="ar"/>
              </w:rPr>
              <w:t>(Chair)</w:t>
            </w:r>
          </w:p>
        </w:tc>
        <w:tc>
          <w:tcPr>
            <w:tcW w:w="4299" w:type="dxa"/>
            <w:shd w:val="clear" w:color="auto" w:fill="auto"/>
            <w:vAlign w:val="center"/>
          </w:tcPr>
          <w:p>
            <w:pPr>
              <w:keepNext w:val="0"/>
              <w:keepLines w:val="0"/>
              <w:widowControl/>
              <w:suppressLineNumbers w:val="0"/>
              <w:jc w:val="righ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Juliet Pickering, UK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401" w:type="dxa"/>
            <w:shd w:val="clear" w:color="auto" w:fill="auto"/>
            <w:vAlign w:val="center"/>
          </w:tcPr>
          <w:p>
            <w:pPr>
              <w:keepNext w:val="0"/>
              <w:keepLines w:val="0"/>
              <w:widowControl/>
              <w:suppressLineNumbers w:val="0"/>
              <w:jc w:val="lef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Zong-Chao Yan, Canada</w:t>
            </w:r>
          </w:p>
        </w:tc>
        <w:tc>
          <w:tcPr>
            <w:tcW w:w="4299" w:type="dxa"/>
            <w:shd w:val="clear" w:color="auto" w:fill="auto"/>
            <w:vAlign w:val="center"/>
          </w:tcPr>
          <w:p>
            <w:pPr>
              <w:keepNext w:val="0"/>
              <w:keepLines w:val="0"/>
              <w:widowControl/>
              <w:suppressLineNumbers w:val="0"/>
              <w:jc w:val="righ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Alexander Kramida, 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401" w:type="dxa"/>
            <w:shd w:val="clear" w:color="auto" w:fill="auto"/>
            <w:vAlign w:val="center"/>
          </w:tcPr>
          <w:p>
            <w:pPr>
              <w:keepNext w:val="0"/>
              <w:keepLines w:val="0"/>
              <w:widowControl/>
              <w:suppressLineNumbers w:val="0"/>
              <w:jc w:val="lef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Andrey Surzhykov, Germany</w:t>
            </w:r>
          </w:p>
        </w:tc>
        <w:tc>
          <w:tcPr>
            <w:tcW w:w="4299" w:type="dxa"/>
            <w:shd w:val="clear" w:color="auto" w:fill="auto"/>
            <w:vAlign w:val="center"/>
          </w:tcPr>
          <w:p>
            <w:pPr>
              <w:keepNext w:val="0"/>
              <w:keepLines w:val="0"/>
              <w:widowControl/>
              <w:suppressLineNumbers w:val="0"/>
              <w:jc w:val="right"/>
              <w:rPr>
                <w:rFonts w:hint="default" w:ascii="Verdana" w:hAnsi="Verdana" w:eastAsia="宋体" w:cs="Verdana"/>
                <w:i w:val="0"/>
                <w:iCs w:val="0"/>
                <w:caps w:val="0"/>
                <w:color w:val="000000"/>
                <w:spacing w:val="0"/>
                <w:sz w:val="16"/>
                <w:szCs w:val="16"/>
                <w:lang w:val="en-US" w:eastAsia="zh-CN"/>
              </w:rPr>
            </w:pPr>
            <w:r>
              <w:rPr>
                <w:rFonts w:hint="default" w:ascii="Verdana" w:hAnsi="Verdana" w:eastAsia="Verdana" w:cs="Verdana"/>
                <w:i w:val="0"/>
                <w:iCs w:val="0"/>
                <w:caps w:val="0"/>
                <w:color w:val="000000"/>
                <w:spacing w:val="0"/>
                <w:kern w:val="0"/>
                <w:sz w:val="16"/>
                <w:szCs w:val="16"/>
                <w:lang w:val="en-US" w:eastAsia="zh-CN" w:bidi="ar"/>
              </w:rPr>
              <w:t>Iouli Gordon, US</w:t>
            </w:r>
            <w:r>
              <w:rPr>
                <w:rFonts w:hint="default" w:ascii="Verdana" w:hAnsi="Verdana" w:eastAsia="Verdana" w:cs="Verdana"/>
                <w:i w:val="0"/>
                <w:iCs w:val="0"/>
                <w:caps w:val="0"/>
                <w:color w:val="000000"/>
                <w:spacing w:val="0"/>
                <w:kern w:val="0"/>
                <w:sz w:val="16"/>
                <w:szCs w:val="16"/>
                <w:highlight w:val="yellow"/>
                <w:lang w:val="en-US" w:eastAsia="zh-CN" w:bidi="ar"/>
              </w:rPr>
              <w:t xml:space="preserve"> (Acting Secretary)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401" w:type="dxa"/>
            <w:shd w:val="clear" w:color="auto" w:fill="auto"/>
            <w:vAlign w:val="center"/>
          </w:tcPr>
          <w:p>
            <w:pPr>
              <w:keepNext w:val="0"/>
              <w:keepLines w:val="0"/>
              <w:widowControl/>
              <w:suppressLineNumbers w:val="0"/>
              <w:jc w:val="lef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Mi-Young Song, Korea</w:t>
            </w:r>
          </w:p>
        </w:tc>
        <w:tc>
          <w:tcPr>
            <w:tcW w:w="4299" w:type="dxa"/>
            <w:shd w:val="clear" w:color="auto" w:fill="auto"/>
            <w:vAlign w:val="center"/>
          </w:tcPr>
          <w:p>
            <w:pPr>
              <w:keepNext w:val="0"/>
              <w:keepLines w:val="0"/>
              <w:widowControl/>
              <w:suppressLineNumbers w:val="0"/>
              <w:jc w:val="righ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Christian Hill, IAEA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401" w:type="dxa"/>
            <w:shd w:val="clear" w:color="auto" w:fill="auto"/>
            <w:vAlign w:val="center"/>
          </w:tcPr>
          <w:p>
            <w:pPr>
              <w:keepNext w:val="0"/>
              <w:keepLines w:val="0"/>
              <w:widowControl/>
              <w:suppressLineNumbers w:val="0"/>
              <w:jc w:val="lef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Inga Tolstikhina, Russia</w:t>
            </w:r>
          </w:p>
        </w:tc>
        <w:tc>
          <w:tcPr>
            <w:tcW w:w="4299" w:type="dxa"/>
            <w:shd w:val="clear" w:color="auto" w:fill="auto"/>
            <w:vAlign w:val="center"/>
          </w:tcPr>
          <w:p>
            <w:pPr>
              <w:keepNext w:val="0"/>
              <w:keepLines w:val="0"/>
              <w:widowControl/>
              <w:suppressLineNumbers w:val="0"/>
              <w:jc w:val="righ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Valdas Jonauskas, Lithuania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401" w:type="dxa"/>
            <w:shd w:val="clear" w:color="auto" w:fill="auto"/>
            <w:vAlign w:val="center"/>
          </w:tcPr>
          <w:p>
            <w:pPr>
              <w:keepNext w:val="0"/>
              <w:keepLines w:val="0"/>
              <w:widowControl/>
              <w:suppressLineNumbers w:val="0"/>
              <w:jc w:val="left"/>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Duck-Hee Kwon, Korea</w:t>
            </w:r>
          </w:p>
        </w:tc>
        <w:tc>
          <w:tcPr>
            <w:tcW w:w="4299" w:type="dxa"/>
            <w:shd w:val="clear" w:color="auto" w:fill="auto"/>
            <w:vAlign w:val="center"/>
          </w:tcPr>
          <w:p>
            <w:pPr>
              <w:keepNext w:val="0"/>
              <w:keepLines w:val="0"/>
              <w:widowControl/>
              <w:suppressLineNumbers w:val="0"/>
              <w:jc w:val="right"/>
              <w:rPr>
                <w:rFonts w:hint="default" w:ascii="Verdana" w:hAnsi="Verdana" w:eastAsia="Verdana" w:cs="Verdana"/>
                <w:i w:val="0"/>
                <w:iCs w:val="0"/>
                <w:caps w:val="0"/>
                <w:color w:val="000000"/>
                <w:spacing w:val="0"/>
                <w:sz w:val="16"/>
                <w:szCs w:val="16"/>
              </w:rPr>
            </w:pPr>
          </w:p>
        </w:tc>
      </w:tr>
    </w:tbl>
    <w:p>
      <w:pPr>
        <w:keepNext w:val="0"/>
        <w:keepLines w:val="0"/>
        <w:widowControl/>
        <w:suppressLineNumbers w:val="0"/>
        <w:jc w:val="left"/>
        <w:rPr>
          <w:sz w:val="16"/>
          <w:szCs w:val="20"/>
        </w:rPr>
      </w:pPr>
    </w:p>
    <w:p>
      <w:pPr>
        <w:jc w:val="left"/>
        <w:rPr>
          <w:rFonts w:hint="eastAsia"/>
          <w:lang w:val="en-US" w:eastAsia="zh-CN"/>
        </w:rPr>
      </w:pPr>
    </w:p>
    <w:p>
      <w:pPr>
        <w:jc w:val="left"/>
        <w:rPr>
          <w:rFonts w:hint="eastAsia"/>
          <w:lang w:val="en-US" w:eastAsia="zh-CN"/>
        </w:rPr>
      </w:pPr>
      <w:r>
        <w:rPr>
          <w:rFonts w:hint="eastAsia"/>
          <w:lang w:val="en-US" w:eastAsia="zh-CN"/>
        </w:rPr>
        <w:t>Local Organizing Committee</w:t>
      </w:r>
    </w:p>
    <w:p>
      <w:pPr>
        <w:jc w:val="left"/>
        <w:rPr>
          <w:rFonts w:hint="eastAsia"/>
          <w:lang w:val="en-US" w:eastAsia="zh-CN"/>
        </w:rPr>
      </w:pPr>
    </w:p>
    <w:tbl>
      <w:tblPr>
        <w:tblStyle w:val="6"/>
        <w:tblW w:w="88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5"/>
        <w:gridCol w:w="4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5" w:type="dxa"/>
          </w:tcPr>
          <w:p>
            <w:pPr>
              <w:jc w:val="left"/>
              <w:rPr>
                <w:rFonts w:hint="default"/>
                <w:vertAlign w:val="baseline"/>
                <w:lang w:val="en-US" w:eastAsia="zh-CN"/>
              </w:rPr>
            </w:pPr>
            <w:r>
              <w:rPr>
                <w:rFonts w:hint="eastAsia"/>
                <w:lang w:val="en-US" w:eastAsia="zh-CN"/>
              </w:rPr>
              <w:t>Chenzhong Dong,NWNU, China(Chair)</w:t>
            </w:r>
          </w:p>
        </w:tc>
        <w:tc>
          <w:tcPr>
            <w:tcW w:w="4318" w:type="dxa"/>
          </w:tcPr>
          <w:p>
            <w:pPr>
              <w:jc w:val="right"/>
              <w:rPr>
                <w:rFonts w:hint="default"/>
                <w:vertAlign w:val="baseline"/>
                <w:lang w:val="en-US" w:eastAsia="zh-CN"/>
              </w:rPr>
            </w:pPr>
            <w:r>
              <w:rPr>
                <w:rFonts w:hint="eastAsia"/>
                <w:vertAlign w:val="baseline"/>
                <w:lang w:val="en-US" w:eastAsia="zh-CN"/>
              </w:rPr>
              <w:t>Xiaobin Ding,NWNU, China(Acting Secretary)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5" w:type="dxa"/>
          </w:tcPr>
          <w:p>
            <w:pPr>
              <w:jc w:val="left"/>
              <w:rPr>
                <w:rFonts w:hint="default"/>
                <w:vertAlign w:val="baseline"/>
                <w:lang w:val="en-US" w:eastAsia="zh-CN"/>
              </w:rPr>
            </w:pPr>
            <w:r>
              <w:rPr>
                <w:rFonts w:hint="eastAsia"/>
                <w:vertAlign w:val="baseline"/>
                <w:lang w:val="en-US" w:eastAsia="zh-CN"/>
              </w:rPr>
              <w:t>Denghong Zhang, NWNU, China</w:t>
            </w:r>
          </w:p>
        </w:tc>
        <w:tc>
          <w:tcPr>
            <w:tcW w:w="4318" w:type="dxa"/>
          </w:tcPr>
          <w:p>
            <w:pPr>
              <w:jc w:val="right"/>
              <w:rPr>
                <w:rFonts w:hint="default"/>
                <w:vertAlign w:val="baseline"/>
                <w:lang w:val="en-US" w:eastAsia="zh-CN"/>
              </w:rPr>
            </w:pPr>
            <w:r>
              <w:rPr>
                <w:rFonts w:hint="eastAsia"/>
                <w:vertAlign w:val="baseline"/>
                <w:lang w:val="en-US" w:eastAsia="zh-CN"/>
              </w:rPr>
              <w:t>Maogen Su, NWNU,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5" w:type="dxa"/>
          </w:tcPr>
          <w:p>
            <w:pPr>
              <w:jc w:val="left"/>
              <w:rPr>
                <w:rFonts w:hint="default"/>
                <w:vertAlign w:val="baseline"/>
                <w:lang w:val="en-US" w:eastAsia="zh-CN"/>
              </w:rPr>
            </w:pPr>
            <w:r>
              <w:rPr>
                <w:rFonts w:hint="eastAsia"/>
                <w:vertAlign w:val="baseline"/>
                <w:lang w:val="en-US" w:eastAsia="zh-CN"/>
              </w:rPr>
              <w:t>Luyou Xie, NWNU, China</w:t>
            </w:r>
          </w:p>
        </w:tc>
        <w:tc>
          <w:tcPr>
            <w:tcW w:w="4318" w:type="dxa"/>
          </w:tcPr>
          <w:p>
            <w:pPr>
              <w:jc w:val="right"/>
              <w:rPr>
                <w:rFonts w:hint="default"/>
                <w:vertAlign w:val="baseline"/>
                <w:lang w:val="en-US" w:eastAsia="zh-CN"/>
              </w:rPr>
            </w:pPr>
            <w:r>
              <w:rPr>
                <w:rFonts w:hint="eastAsia"/>
                <w:vertAlign w:val="baseline"/>
                <w:lang w:val="en-US" w:eastAsia="zh-CN"/>
              </w:rPr>
              <w:t>Jun Jiang, NWNU,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5" w:type="dxa"/>
          </w:tcPr>
          <w:p>
            <w:pPr>
              <w:jc w:val="left"/>
              <w:rPr>
                <w:rFonts w:hint="default"/>
                <w:vertAlign w:val="baseline"/>
                <w:lang w:val="en-US" w:eastAsia="zh-CN"/>
              </w:rPr>
            </w:pPr>
            <w:r>
              <w:rPr>
                <w:rFonts w:hint="eastAsia"/>
                <w:vertAlign w:val="baseline"/>
                <w:lang w:val="en-US" w:eastAsia="zh-CN"/>
              </w:rPr>
              <w:t>Duixiong Sun, NWNU, China</w:t>
            </w:r>
          </w:p>
        </w:tc>
        <w:tc>
          <w:tcPr>
            <w:tcW w:w="4318" w:type="dxa"/>
          </w:tcPr>
          <w:p>
            <w:pPr>
              <w:jc w:val="right"/>
              <w:rPr>
                <w:rFonts w:hint="default"/>
                <w:vertAlign w:val="baseline"/>
                <w:lang w:val="en-US" w:eastAsia="zh-CN"/>
              </w:rPr>
            </w:pPr>
            <w:r>
              <w:rPr>
                <w:rFonts w:hint="eastAsia"/>
                <w:vertAlign w:val="baseline"/>
                <w:lang w:val="en-US" w:eastAsia="zh-CN"/>
              </w:rPr>
              <w:t>Qi Min, NWNU,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5" w:type="dxa"/>
          </w:tcPr>
          <w:p>
            <w:pPr>
              <w:jc w:val="left"/>
              <w:rPr>
                <w:rFonts w:hint="default"/>
                <w:vertAlign w:val="baseline"/>
                <w:lang w:val="en-US" w:eastAsia="zh-CN"/>
              </w:rPr>
            </w:pPr>
            <w:r>
              <w:rPr>
                <w:rFonts w:hint="eastAsia"/>
                <w:vertAlign w:val="baseline"/>
                <w:lang w:val="en-US" w:eastAsia="zh-CN"/>
              </w:rPr>
              <w:t>Maijuan Li, NWNU, China</w:t>
            </w:r>
          </w:p>
        </w:tc>
        <w:tc>
          <w:tcPr>
            <w:tcW w:w="4318" w:type="dxa"/>
          </w:tcPr>
          <w:p>
            <w:pPr>
              <w:jc w:val="right"/>
              <w:rPr>
                <w:rFonts w:hint="default"/>
                <w:vertAlign w:val="baseline"/>
                <w:lang w:val="en-US" w:eastAsia="zh-CN"/>
              </w:rPr>
            </w:pPr>
            <w:r>
              <w:rPr>
                <w:rFonts w:hint="eastAsia"/>
                <w:vertAlign w:val="baseline"/>
                <w:lang w:val="en-US" w:eastAsia="zh-CN"/>
              </w:rPr>
              <w:t>Guoding Zhang, NWNU,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5" w:type="dxa"/>
          </w:tcPr>
          <w:p>
            <w:pPr>
              <w:jc w:val="left"/>
              <w:rPr>
                <w:rFonts w:hint="default"/>
                <w:vertAlign w:val="baseline"/>
                <w:lang w:val="en-US" w:eastAsia="zh-CN"/>
              </w:rPr>
            </w:pPr>
            <w:r>
              <w:rPr>
                <w:rFonts w:hint="eastAsia"/>
                <w:vertAlign w:val="baseline"/>
                <w:lang w:val="en-US" w:eastAsia="zh-CN"/>
              </w:rPr>
              <w:t>Yulong Ma, NWNU, China</w:t>
            </w:r>
          </w:p>
        </w:tc>
        <w:tc>
          <w:tcPr>
            <w:tcW w:w="4318" w:type="dxa"/>
          </w:tcPr>
          <w:p>
            <w:pPr>
              <w:jc w:val="right"/>
              <w:rPr>
                <w:rFonts w:hint="default"/>
                <w:vertAlign w:val="baseline"/>
                <w:lang w:val="en-US" w:eastAsia="zh-CN"/>
              </w:rPr>
            </w:pPr>
            <w:r>
              <w:rPr>
                <w:rFonts w:hint="eastAsia"/>
                <w:vertAlign w:val="baseline"/>
                <w:lang w:val="en-US" w:eastAsia="zh-CN"/>
              </w:rPr>
              <w:t>Shiquan Cao, NWNU,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5" w:type="dxa"/>
          </w:tcPr>
          <w:p>
            <w:pPr>
              <w:jc w:val="left"/>
              <w:rPr>
                <w:rFonts w:hint="default"/>
                <w:vertAlign w:val="baseline"/>
                <w:lang w:val="en-US" w:eastAsia="zh-CN"/>
              </w:rPr>
            </w:pPr>
            <w:r>
              <w:rPr>
                <w:rFonts w:hint="eastAsia"/>
                <w:vertAlign w:val="baseline"/>
                <w:lang w:val="en-US" w:eastAsia="zh-CN"/>
              </w:rPr>
              <w:t>Zhongwen Wu, NWNU, China</w:t>
            </w:r>
          </w:p>
        </w:tc>
        <w:tc>
          <w:tcPr>
            <w:tcW w:w="4318" w:type="dxa"/>
          </w:tcPr>
          <w:p>
            <w:pPr>
              <w:jc w:val="right"/>
              <w:rPr>
                <w:rFonts w:hint="default"/>
                <w:vertAlign w:val="baseline"/>
                <w:lang w:val="en-US" w:eastAsia="zh-CN"/>
              </w:rPr>
            </w:pPr>
            <w:r>
              <w:rPr>
                <w:rFonts w:hint="eastAsia"/>
                <w:vertAlign w:val="baseline"/>
                <w:lang w:val="en-US" w:eastAsia="zh-CN"/>
              </w:rPr>
              <w:t>Lei Wu, NWNU,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5" w:type="dxa"/>
          </w:tcPr>
          <w:p>
            <w:pPr>
              <w:jc w:val="left"/>
              <w:rPr>
                <w:rFonts w:hint="default"/>
                <w:vertAlign w:val="baseline"/>
                <w:lang w:val="en-US" w:eastAsia="zh-CN"/>
              </w:rPr>
            </w:pPr>
            <w:r>
              <w:rPr>
                <w:rFonts w:hint="eastAsia"/>
                <w:vertAlign w:val="baseline"/>
                <w:lang w:val="en-US" w:eastAsia="zh-CN"/>
              </w:rPr>
              <w:t>Xinwen Ma, IMP, China</w:t>
            </w:r>
          </w:p>
        </w:tc>
        <w:tc>
          <w:tcPr>
            <w:tcW w:w="4318" w:type="dxa"/>
          </w:tcPr>
          <w:p>
            <w:pPr>
              <w:jc w:val="right"/>
              <w:rPr>
                <w:rFonts w:hint="default"/>
                <w:vertAlign w:val="baseline"/>
                <w:lang w:val="en-US" w:eastAsia="zh-CN"/>
              </w:rPr>
            </w:pPr>
            <w:r>
              <w:rPr>
                <w:rFonts w:hint="eastAsia"/>
                <w:vertAlign w:val="baseline"/>
                <w:lang w:val="en-US" w:eastAsia="zh-CN"/>
              </w:rPr>
              <w:t>Jianguo Wang, IAPCM,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5" w:type="dxa"/>
          </w:tcPr>
          <w:p>
            <w:pPr>
              <w:jc w:val="left"/>
              <w:rPr>
                <w:rFonts w:hint="default"/>
                <w:vertAlign w:val="baseline"/>
                <w:lang w:val="en-US" w:eastAsia="zh-CN"/>
              </w:rPr>
            </w:pPr>
            <w:r>
              <w:rPr>
                <w:rFonts w:hint="eastAsia"/>
                <w:vertAlign w:val="baseline"/>
                <w:lang w:val="en-US" w:eastAsia="zh-CN"/>
              </w:rPr>
              <w:t>Jun Yan, IAPCM, China</w:t>
            </w:r>
          </w:p>
        </w:tc>
        <w:tc>
          <w:tcPr>
            <w:tcW w:w="4318" w:type="dxa"/>
          </w:tcPr>
          <w:p>
            <w:pPr>
              <w:jc w:val="right"/>
              <w:rPr>
                <w:rFonts w:hint="eastAsia"/>
                <w:vertAlign w:val="baseline"/>
                <w:lang w:val="en-US" w:eastAsia="zh-CN"/>
              </w:rPr>
            </w:pPr>
            <w:r>
              <w:rPr>
                <w:rFonts w:hint="eastAsia"/>
                <w:vertAlign w:val="baseline"/>
                <w:lang w:val="en-US" w:eastAsia="zh-CN"/>
              </w:rPr>
              <w:t>Yong Wu, IAPCM,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5" w:type="dxa"/>
          </w:tcPr>
          <w:p>
            <w:pPr>
              <w:jc w:val="left"/>
              <w:rPr>
                <w:rFonts w:hint="default"/>
                <w:vertAlign w:val="baseline"/>
                <w:lang w:val="en-US" w:eastAsia="zh-CN"/>
              </w:rPr>
            </w:pPr>
            <w:r>
              <w:rPr>
                <w:rFonts w:hint="eastAsia"/>
                <w:vertAlign w:val="baseline"/>
                <w:lang w:val="en-US" w:eastAsia="zh-CN"/>
              </w:rPr>
              <w:t>Jiguang Li, IAPCM, China</w:t>
            </w:r>
          </w:p>
        </w:tc>
        <w:tc>
          <w:tcPr>
            <w:tcW w:w="4318" w:type="dxa"/>
          </w:tcPr>
          <w:p>
            <w:pPr>
              <w:jc w:val="right"/>
              <w:rPr>
                <w:rFonts w:hint="default"/>
                <w:vertAlign w:val="baseline"/>
                <w:lang w:val="en-US" w:eastAsia="zh-CN"/>
              </w:rPr>
            </w:pPr>
          </w:p>
        </w:tc>
      </w:tr>
    </w:tbl>
    <w:p>
      <w:pPr>
        <w:jc w:val="left"/>
        <w:rPr>
          <w:rFonts w:hint="default"/>
          <w:lang w:val="en-US" w:eastAsia="zh-CN"/>
        </w:rPr>
      </w:pPr>
    </w:p>
    <w:p>
      <w:pPr>
        <w:pStyle w:val="2"/>
        <w:bidi w:val="0"/>
        <w:rPr>
          <w:rFonts w:hint="eastAsia"/>
          <w:lang w:val="en-US" w:eastAsia="zh-CN"/>
        </w:rPr>
      </w:pPr>
      <w:r>
        <w:rPr>
          <w:rFonts w:hint="eastAsia"/>
          <w:lang w:val="en-US" w:eastAsia="zh-CN"/>
        </w:rPr>
        <w:t>Programme</w:t>
      </w:r>
    </w:p>
    <w:p>
      <w:pPr>
        <w:pStyle w:val="3"/>
        <w:bidi w:val="0"/>
        <w:rPr>
          <w:rFonts w:hint="eastAsia"/>
          <w:lang w:val="en-US" w:eastAsia="zh-CN"/>
        </w:rPr>
      </w:pPr>
      <w:r>
        <w:rPr>
          <w:rFonts w:hint="eastAsia"/>
          <w:lang w:val="en-US" w:eastAsia="zh-CN"/>
        </w:rPr>
        <w:t>Invited Speakers</w:t>
      </w:r>
    </w:p>
    <w:p>
      <w:pPr>
        <w:pStyle w:val="3"/>
        <w:bidi w:val="0"/>
        <w:rPr>
          <w:rFonts w:hint="eastAsia"/>
          <w:highlight w:val="yellow"/>
          <w:lang w:val="en-US" w:eastAsia="zh-CN"/>
        </w:rPr>
      </w:pPr>
      <w:r>
        <w:rPr>
          <w:rFonts w:hint="eastAsia"/>
          <w:highlight w:val="yellow"/>
          <w:lang w:val="en-US" w:eastAsia="zh-CN"/>
        </w:rPr>
        <w:t>DataBase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"http://www.camdb.ac.cn/e/" </w:instrText>
      </w:r>
      <w:r>
        <w:rPr>
          <w:rFonts w:hint="eastAsia"/>
          <w:lang w:val="en-US" w:eastAsia="zh-CN"/>
        </w:rPr>
        <w:fldChar w:fldCharType="separate"/>
      </w:r>
      <w:r>
        <w:rPr>
          <w:rStyle w:val="9"/>
          <w:rFonts w:hint="eastAsia"/>
          <w:lang w:val="en-US" w:eastAsia="zh-CN"/>
        </w:rPr>
        <w:t>http://www.camdb.ac.cn/e/</w:t>
      </w:r>
      <w:r>
        <w:rPr>
          <w:rFonts w:hint="eastAsia"/>
          <w:lang w:val="en-US" w:eastAsia="zh-CN"/>
        </w:rPr>
        <w:fldChar w:fldCharType="end"/>
      </w:r>
      <w:r>
        <w:rPr>
          <w:rFonts w:hint="eastAsia"/>
          <w:lang w:val="en-US" w:eastAsia="zh-CN"/>
        </w:rPr>
        <w:t xml:space="preserve">   China Research Association of Atomic and Molecular Data (CRAAMD)</w:t>
      </w:r>
    </w:p>
    <w:p>
      <w:pPr>
        <w:rPr>
          <w:rFonts w:hint="default"/>
          <w:lang w:val="en-US" w:eastAsia="zh-CN"/>
        </w:rPr>
      </w:pPr>
    </w:p>
    <w:p>
      <w:pPr>
        <w:pStyle w:val="3"/>
        <w:bidi w:val="0"/>
        <w:rPr>
          <w:rFonts w:hint="eastAsia"/>
          <w:lang w:val="en-US" w:eastAsia="zh-CN"/>
        </w:rPr>
      </w:pPr>
      <w:r>
        <w:rPr>
          <w:rFonts w:hint="eastAsia"/>
          <w:lang w:val="en-US" w:eastAsia="zh-CN"/>
        </w:rPr>
        <w:t>Schedule</w:t>
      </w:r>
    </w:p>
    <w:p>
      <w:pPr>
        <w:pStyle w:val="3"/>
        <w:bidi w:val="0"/>
        <w:rPr>
          <w:rFonts w:hint="eastAsia"/>
          <w:lang w:val="en-US" w:eastAsia="zh-CN"/>
        </w:rPr>
      </w:pPr>
      <w:r>
        <w:rPr>
          <w:rFonts w:hint="eastAsia"/>
          <w:lang w:val="en-US" w:eastAsia="zh-CN"/>
        </w:rPr>
        <w:t>Poster Session</w:t>
      </w:r>
    </w:p>
    <w:p>
      <w:pPr>
        <w:pStyle w:val="3"/>
        <w:bidi w:val="0"/>
        <w:rPr>
          <w:rFonts w:hint="eastAsia"/>
          <w:highlight w:val="yellow"/>
          <w:lang w:val="en-US" w:eastAsia="zh-CN"/>
        </w:rPr>
      </w:pPr>
      <w:r>
        <w:rPr>
          <w:rFonts w:hint="eastAsia"/>
          <w:highlight w:val="yellow"/>
          <w:lang w:val="en-US" w:eastAsia="zh-CN"/>
        </w:rPr>
        <w:t>Best Poster Awards（*）</w:t>
      </w:r>
    </w:p>
    <w:p>
      <w:pPr>
        <w:pStyle w:val="3"/>
        <w:bidi w:val="0"/>
        <w:rPr>
          <w:rFonts w:hint="eastAsia"/>
          <w:lang w:val="en-US" w:eastAsia="zh-CN"/>
        </w:rPr>
      </w:pPr>
      <w:r>
        <w:rPr>
          <w:rFonts w:hint="eastAsia"/>
          <w:lang w:val="en-US" w:eastAsia="zh-CN"/>
        </w:rPr>
        <w:t>Satellite Meeting</w:t>
      </w:r>
    </w:p>
    <w:p>
      <w:pPr>
        <w:rPr>
          <w:rFonts w:hint="default"/>
          <w:lang w:val="en-US" w:eastAsia="zh-CN"/>
        </w:rPr>
      </w:pPr>
    </w:p>
    <w:p>
      <w:pPr>
        <w:pStyle w:val="3"/>
        <w:bidi w:val="0"/>
        <w:rPr>
          <w:rFonts w:hint="eastAsia"/>
          <w:lang w:val="en-US" w:eastAsia="zh-CN"/>
        </w:rPr>
      </w:pPr>
      <w:r>
        <w:rPr>
          <w:rFonts w:hint="eastAsia"/>
          <w:lang w:val="en-US" w:eastAsia="zh-CN"/>
        </w:rPr>
        <w:t>ICAMDATA Collections</w:t>
      </w:r>
    </w:p>
    <w:p>
      <w:pPr>
        <w:rPr>
          <w:rFonts w:hint="eastAsia"/>
          <w:lang w:val="en-US" w:eastAsia="zh-CN"/>
        </w:rPr>
      </w:pPr>
      <w:r>
        <w:rPr>
          <w:rFonts w:hint="eastAsia"/>
          <w:lang w:val="en-US" w:eastAsia="zh-CN"/>
        </w:rPr>
        <w:t>12th ICAMDATA Collection</w:t>
      </w:r>
    </w:p>
    <w:p>
      <w:pPr>
        <w:rPr>
          <w:rFonts w:hint="eastAsia"/>
          <w:lang w:val="en-US" w:eastAsia="zh-CN"/>
        </w:rPr>
      </w:pPr>
    </w:p>
    <w:p>
      <w:pPr>
        <w:rPr>
          <w:rFonts w:hint="eastAsia"/>
          <w:highlight w:val="yellow"/>
          <w:lang w:val="en-US" w:eastAsia="zh-CN"/>
        </w:rPr>
      </w:pPr>
      <w:r>
        <w:rPr>
          <w:rFonts w:hint="eastAsia"/>
          <w:lang w:val="en-US" w:eastAsia="zh-CN"/>
        </w:rPr>
        <w:t xml:space="preserve">Invited speakers and all presenters contributing to the Conference scientific programme are invited to submit a regular paper </w:t>
      </w:r>
      <w:r>
        <w:rPr>
          <w:rFonts w:hint="eastAsia"/>
          <w:highlight w:val="yellow"/>
          <w:lang w:val="en-US" w:eastAsia="zh-CN"/>
        </w:rPr>
        <w:t xml:space="preserve">in the Topical Issue of the </w:t>
      </w:r>
      <w:r>
        <w:rPr>
          <w:rFonts w:hint="eastAsia"/>
          <w:highlight w:val="yellow"/>
          <w:lang w:val="en-US" w:eastAsia="zh-CN"/>
        </w:rPr>
        <w:fldChar w:fldCharType="begin"/>
      </w:r>
      <w:r>
        <w:rPr>
          <w:rFonts w:hint="eastAsia"/>
          <w:highlight w:val="yellow"/>
          <w:lang w:val="en-US" w:eastAsia="zh-CN"/>
        </w:rPr>
        <w:instrText xml:space="preserve"> HYPERLINK "https://www.springer.com/journal/10053" </w:instrText>
      </w:r>
      <w:r>
        <w:rPr>
          <w:rFonts w:hint="eastAsia"/>
          <w:highlight w:val="yellow"/>
          <w:lang w:val="en-US" w:eastAsia="zh-CN"/>
        </w:rPr>
        <w:fldChar w:fldCharType="separate"/>
      </w:r>
      <w:r>
        <w:rPr>
          <w:rStyle w:val="9"/>
          <w:rFonts w:hint="eastAsia"/>
          <w:highlight w:val="yellow"/>
          <w:lang w:val="en-US" w:eastAsia="zh-CN"/>
        </w:rPr>
        <w:t>European Physical Journal D</w:t>
      </w:r>
      <w:r>
        <w:rPr>
          <w:rFonts w:hint="eastAsia"/>
          <w:highlight w:val="yellow"/>
          <w:lang w:val="en-US" w:eastAsia="zh-CN"/>
        </w:rPr>
        <w:fldChar w:fldCharType="end"/>
      </w:r>
    </w:p>
    <w:p>
      <w:pPr>
        <w:rPr>
          <w:rFonts w:hint="eastAsia"/>
          <w:highlight w:val="yellow"/>
          <w:lang w:val="en-US" w:eastAsia="zh-CN"/>
        </w:rPr>
      </w:pPr>
      <w:r>
        <w:rPr>
          <w:rFonts w:hint="eastAsia"/>
          <w:highlight w:val="yellow"/>
          <w:lang w:val="en-US" w:eastAsia="zh-CN"/>
        </w:rPr>
        <w:t>Atomic and Molecular Data and Their Applications: ICAMDATA2022</w:t>
      </w:r>
    </w:p>
    <w:p>
      <w:pPr>
        <w:rPr>
          <w:rFonts w:hint="default"/>
          <w:highlight w:val="yellow"/>
          <w:lang w:val="en-US" w:eastAsia="zh-CN"/>
        </w:rPr>
      </w:pPr>
      <w:r>
        <w:rPr>
          <w:rFonts w:hint="eastAsia"/>
          <w:highlight w:val="yellow"/>
          <w:lang w:val="en-US" w:eastAsia="zh-CN"/>
        </w:rPr>
        <w:t>Guest Editors: C Z Dong, X B Ding,</w:t>
      </w:r>
      <w:r>
        <w:rPr>
          <w:rFonts w:hint="eastAsia"/>
          <w:highlight w:val="yellow"/>
          <w:lang w:val="en-US" w:eastAsia="zh-CN"/>
        </w:rPr>
        <w:t xml:space="preserve"> (and others)</w:t>
      </w:r>
    </w:p>
    <w:p>
      <w:pPr>
        <w:rPr>
          <w:rFonts w:hint="eastAsia"/>
          <w:highlight w:val="yellow"/>
          <w:lang w:val="en-US" w:eastAsia="zh-CN"/>
        </w:rPr>
      </w:pP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Past ICAMDATA Conference Proceedings and Collections</w:t>
      </w:r>
    </w:p>
    <w:p>
      <w:pPr>
        <w:rPr>
          <w:rFonts w:hint="eastAsia"/>
          <w:lang w:val="en-US" w:eastAsia="zh-CN"/>
        </w:rPr>
      </w:pPr>
    </w:p>
    <w:p>
      <w:pPr>
        <w:rPr>
          <w:rFonts w:hint="eastAsia"/>
          <w:lang w:val="en-US" w:eastAsia="zh-CN"/>
        </w:rPr>
      </w:pPr>
      <w:r>
        <w:rPr>
          <w:rFonts w:hint="eastAsia"/>
          <w:lang w:val="en-US" w:eastAsia="zh-CN"/>
        </w:rPr>
        <w:t>1997. Gaithersburg, Maryland. AIP Conf. Proc. 434</w:t>
      </w:r>
    </w:p>
    <w:p>
      <w:pPr>
        <w:rPr>
          <w:rFonts w:hint="eastAsia"/>
          <w:lang w:val="en-US" w:eastAsia="zh-CN"/>
        </w:rPr>
      </w:pPr>
      <w:r>
        <w:rPr>
          <w:rFonts w:hint="eastAsia"/>
          <w:lang w:val="en-US" w:eastAsia="zh-CN"/>
        </w:rPr>
        <w:t>Peter J. Mohr and Wolfgang L. Wiese, eds. (AIP, Woodbury, NY, 1998)</w:t>
      </w:r>
    </w:p>
    <w:p>
      <w:pPr>
        <w:rPr>
          <w:rFonts w:hint="eastAsia"/>
          <w:lang w:val="en-US" w:eastAsia="zh-CN"/>
        </w:rPr>
      </w:pPr>
      <w:r>
        <w:rPr>
          <w:rFonts w:hint="eastAsia"/>
          <w:lang w:val="en-US" w:eastAsia="zh-CN"/>
        </w:rPr>
        <w:t>poster papers in NIST Special Pub. 926, Wolfgang L. Wiese and Peter J. Mohr, eds. (US GPO, Washington, DC, 1998).</w:t>
      </w:r>
    </w:p>
    <w:p>
      <w:pPr>
        <w:rPr>
          <w:rFonts w:hint="eastAsia"/>
          <w:lang w:val="en-US" w:eastAsia="zh-CN"/>
        </w:rPr>
      </w:pPr>
    </w:p>
    <w:p>
      <w:pPr>
        <w:rPr>
          <w:rFonts w:hint="eastAsia"/>
          <w:lang w:val="en-US" w:eastAsia="zh-CN"/>
        </w:rPr>
      </w:pPr>
      <w:r>
        <w:rPr>
          <w:rFonts w:hint="eastAsia"/>
          <w:lang w:val="en-US" w:eastAsia="zh-CN"/>
        </w:rPr>
        <w:t>2000. Oxford, England. AIP Conf. Proc. 543</w:t>
      </w:r>
    </w:p>
    <w:p>
      <w:pPr>
        <w:rPr>
          <w:rFonts w:hint="eastAsia"/>
          <w:lang w:val="en-US" w:eastAsia="zh-CN"/>
        </w:rPr>
      </w:pPr>
      <w:r>
        <w:rPr>
          <w:rFonts w:hint="eastAsia"/>
          <w:lang w:val="en-US" w:eastAsia="zh-CN"/>
        </w:rPr>
        <w:t>Keith A. Berrington and Kenneth Bell, eds. (AIP, Melville, NY, 2000).</w:t>
      </w:r>
    </w:p>
    <w:p>
      <w:pPr>
        <w:rPr>
          <w:rFonts w:hint="eastAsia"/>
          <w:lang w:val="en-US" w:eastAsia="zh-CN"/>
        </w:rPr>
      </w:pPr>
    </w:p>
    <w:p>
      <w:pPr>
        <w:rPr>
          <w:rFonts w:hint="eastAsia"/>
          <w:lang w:val="en-US" w:eastAsia="zh-CN"/>
        </w:rPr>
      </w:pPr>
      <w:r>
        <w:rPr>
          <w:rFonts w:hint="eastAsia"/>
          <w:lang w:val="en-US" w:eastAsia="zh-CN"/>
        </w:rPr>
        <w:t>2002. Gatlinburg, Tennessee. AIP Conf. Proc. 636</w:t>
      </w:r>
    </w:p>
    <w:p>
      <w:pPr>
        <w:rPr>
          <w:rFonts w:hint="eastAsia"/>
          <w:lang w:val="en-US" w:eastAsia="zh-CN"/>
        </w:rPr>
      </w:pPr>
      <w:r>
        <w:rPr>
          <w:rFonts w:hint="eastAsia"/>
          <w:lang w:val="en-US" w:eastAsia="zh-CN"/>
        </w:rPr>
        <w:t>David R. Schultz, Predrag S. Krstic, and Fay Ownby, eds. (AIP, Melville, NY, 2002).</w:t>
      </w:r>
    </w:p>
    <w:p>
      <w:pPr>
        <w:rPr>
          <w:rFonts w:hint="eastAsia"/>
          <w:lang w:val="en-US" w:eastAsia="zh-CN"/>
        </w:rPr>
      </w:pPr>
    </w:p>
    <w:p>
      <w:pPr>
        <w:rPr>
          <w:rFonts w:hint="eastAsia"/>
          <w:lang w:val="en-US" w:eastAsia="zh-CN"/>
        </w:rPr>
      </w:pPr>
      <w:r>
        <w:rPr>
          <w:rFonts w:hint="eastAsia"/>
          <w:lang w:val="en-US" w:eastAsia="zh-CN"/>
        </w:rPr>
        <w:t>2004. Toki, Japan. AIP Conf. Proc. 771</w:t>
      </w:r>
    </w:p>
    <w:p>
      <w:pPr>
        <w:rPr>
          <w:rFonts w:hint="eastAsia"/>
          <w:lang w:val="en-US" w:eastAsia="zh-CN"/>
        </w:rPr>
      </w:pPr>
      <w:r>
        <w:rPr>
          <w:rFonts w:hint="eastAsia"/>
          <w:lang w:val="en-US" w:eastAsia="zh-CN"/>
        </w:rPr>
        <w:t>Takako Kato, Hisamichi Funaba and Daiji Kato, eds. (AIP, Melville, NY, 2005)</w:t>
      </w:r>
    </w:p>
    <w:p>
      <w:pPr>
        <w:rPr>
          <w:rFonts w:hint="eastAsia"/>
          <w:lang w:val="en-US" w:eastAsia="zh-CN"/>
        </w:rPr>
      </w:pPr>
      <w:r>
        <w:rPr>
          <w:rFonts w:hint="eastAsia"/>
          <w:lang w:val="en-US" w:eastAsia="zh-CN"/>
        </w:rPr>
        <w:t>contributed papers in J. Plasma Fusion Res. Ser. (JPFS-R) 7 (2006), T. Kato, H. Funaba, C. Suzuki, T. Minami, eds.</w:t>
      </w:r>
    </w:p>
    <w:p>
      <w:pPr>
        <w:rPr>
          <w:rFonts w:hint="eastAsia"/>
          <w:lang w:val="en-US" w:eastAsia="zh-CN"/>
        </w:rPr>
      </w:pPr>
      <w:r>
        <w:rPr>
          <w:rFonts w:hint="eastAsia"/>
          <w:lang w:val="en-US" w:eastAsia="zh-CN"/>
        </w:rPr>
        <w:t>meeting summary by R. K. Janev and T. Kato, Phys. Scr. 72, C6 (2005).</w:t>
      </w:r>
    </w:p>
    <w:p>
      <w:pPr>
        <w:rPr>
          <w:rFonts w:hint="eastAsia"/>
          <w:lang w:val="en-US" w:eastAsia="zh-CN"/>
        </w:rPr>
      </w:pPr>
    </w:p>
    <w:p>
      <w:pPr>
        <w:rPr>
          <w:rFonts w:hint="eastAsia"/>
          <w:lang w:val="en-US" w:eastAsia="zh-CN"/>
        </w:rPr>
      </w:pPr>
      <w:r>
        <w:rPr>
          <w:rFonts w:hint="eastAsia"/>
          <w:lang w:val="en-US" w:eastAsia="zh-CN"/>
        </w:rPr>
        <w:t>2006. Meudon, France. AIP Conf. Proc. 901</w:t>
      </w:r>
    </w:p>
    <w:p>
      <w:pPr>
        <w:rPr>
          <w:rFonts w:hint="eastAsia"/>
          <w:lang w:val="en-US" w:eastAsia="zh-CN"/>
        </w:rPr>
      </w:pPr>
      <w:r>
        <w:rPr>
          <w:rFonts w:hint="eastAsia"/>
          <w:lang w:val="en-US" w:eastAsia="zh-CN"/>
        </w:rPr>
        <w:t>Evelyne Roueff, ed. (AIP, Melville, NY, 2007).</w:t>
      </w:r>
    </w:p>
    <w:p>
      <w:pPr>
        <w:rPr>
          <w:rFonts w:hint="eastAsia"/>
          <w:lang w:val="en-US" w:eastAsia="zh-CN"/>
        </w:rPr>
      </w:pPr>
    </w:p>
    <w:p>
      <w:pPr>
        <w:rPr>
          <w:rFonts w:hint="eastAsia"/>
          <w:lang w:val="en-US" w:eastAsia="zh-CN"/>
        </w:rPr>
      </w:pPr>
      <w:r>
        <w:rPr>
          <w:rFonts w:hint="eastAsia"/>
          <w:lang w:val="en-US" w:eastAsia="zh-CN"/>
        </w:rPr>
        <w:t>2008. Beijing, China. AIP Conf. Proc. 1125</w:t>
      </w:r>
    </w:p>
    <w:p>
      <w:pPr>
        <w:rPr>
          <w:rFonts w:hint="eastAsia"/>
          <w:lang w:val="en-US" w:eastAsia="zh-CN"/>
        </w:rPr>
      </w:pPr>
      <w:r>
        <w:rPr>
          <w:rFonts w:hint="eastAsia"/>
          <w:lang w:val="en-US" w:eastAsia="zh-CN"/>
        </w:rPr>
        <w:t>Shaoping Zhu and Jun Yan, eds. (AIP, Melville, NY, 2009).</w:t>
      </w:r>
    </w:p>
    <w:p>
      <w:pPr>
        <w:rPr>
          <w:rFonts w:hint="eastAsia"/>
          <w:lang w:val="en-US" w:eastAsia="zh-CN"/>
        </w:rPr>
      </w:pPr>
    </w:p>
    <w:p>
      <w:pPr>
        <w:rPr>
          <w:rFonts w:hint="eastAsia"/>
          <w:lang w:val="en-US" w:eastAsia="zh-CN"/>
        </w:rPr>
      </w:pPr>
      <w:r>
        <w:rPr>
          <w:rFonts w:hint="eastAsia"/>
          <w:lang w:val="en-US" w:eastAsia="zh-CN"/>
        </w:rPr>
        <w:t>2010. Vilnius, Lithuania. AIP Conf. Proc. 1344</w:t>
      </w:r>
    </w:p>
    <w:p>
      <w:pPr>
        <w:rPr>
          <w:rFonts w:hint="eastAsia"/>
          <w:lang w:val="en-US" w:eastAsia="zh-CN"/>
        </w:rPr>
      </w:pPr>
      <w:r>
        <w:rPr>
          <w:rFonts w:hint="eastAsia"/>
          <w:lang w:val="en-US" w:eastAsia="zh-CN"/>
        </w:rPr>
        <w:t>A. Bernotas, R. Karazija, and Z. Rudzikas, eds. (AIP, Melville, NY, 2011).</w:t>
      </w:r>
    </w:p>
    <w:p>
      <w:pPr>
        <w:rPr>
          <w:rFonts w:hint="eastAsia"/>
          <w:lang w:val="en-US" w:eastAsia="zh-CN"/>
        </w:rPr>
      </w:pPr>
    </w:p>
    <w:p>
      <w:pPr>
        <w:rPr>
          <w:rFonts w:hint="eastAsia"/>
          <w:lang w:val="en-US" w:eastAsia="zh-CN"/>
        </w:rPr>
      </w:pPr>
      <w:r>
        <w:rPr>
          <w:rFonts w:hint="eastAsia"/>
          <w:lang w:val="en-US" w:eastAsia="zh-CN"/>
        </w:rPr>
        <w:t>2012. Gaithersburg, Maryland. AIP Conf. Proc. 1545</w:t>
      </w:r>
    </w:p>
    <w:p>
      <w:pPr>
        <w:rPr>
          <w:rFonts w:hint="eastAsia"/>
          <w:lang w:val="en-US" w:eastAsia="zh-CN"/>
        </w:rPr>
      </w:pPr>
      <w:r>
        <w:rPr>
          <w:rFonts w:hint="eastAsia"/>
          <w:lang w:val="en-US" w:eastAsia="zh-CN"/>
        </w:rPr>
        <w:t>John D. Gillapsy, Wolfgang L. Wiese, and Yuri A. Podpaly, eds. (AIP, Melville, NY, 2013).</w:t>
      </w:r>
    </w:p>
    <w:p>
      <w:pPr>
        <w:rPr>
          <w:rFonts w:hint="eastAsia"/>
          <w:lang w:val="en-US" w:eastAsia="zh-CN"/>
        </w:rPr>
      </w:pPr>
    </w:p>
    <w:p>
      <w:pPr>
        <w:rPr>
          <w:rFonts w:hint="eastAsia"/>
          <w:lang w:val="en-US" w:eastAsia="zh-CN"/>
        </w:rPr>
      </w:pPr>
      <w:r>
        <w:rPr>
          <w:rFonts w:hint="eastAsia"/>
          <w:lang w:val="en-US" w:eastAsia="zh-CN"/>
        </w:rPr>
        <w:t>2014. Jena, Germany. Phys. Scr. 90 (5), 050201 (2015)</w:t>
      </w:r>
    </w:p>
    <w:p>
      <w:pPr>
        <w:rPr>
          <w:rFonts w:hint="eastAsia"/>
          <w:lang w:val="en-US" w:eastAsia="zh-CN"/>
        </w:rPr>
      </w:pPr>
      <w:r>
        <w:rPr>
          <w:rFonts w:hint="eastAsia"/>
          <w:lang w:val="en-US" w:eastAsia="zh-CN"/>
        </w:rPr>
        <w:t>Stefan Schippers, Andrey Surzhykov, and Stephan Fritzsche, eds.</w:t>
      </w:r>
    </w:p>
    <w:p>
      <w:pPr>
        <w:rPr>
          <w:rFonts w:hint="eastAsia"/>
          <w:lang w:val="en-US" w:eastAsia="zh-CN"/>
        </w:rPr>
      </w:pPr>
    </w:p>
    <w:p>
      <w:pPr>
        <w:rPr>
          <w:rFonts w:hint="eastAsia"/>
          <w:lang w:val="en-US" w:eastAsia="zh-CN"/>
        </w:rPr>
      </w:pPr>
      <w:r>
        <w:rPr>
          <w:rFonts w:hint="eastAsia"/>
          <w:lang w:val="en-US" w:eastAsia="zh-CN"/>
        </w:rPr>
        <w:t>2016. Gunsan, South Korea. Eur. Phys. J. D (Topical Issue) (2017-2018)</w:t>
      </w:r>
    </w:p>
    <w:p>
      <w:pPr>
        <w:rPr>
          <w:rFonts w:hint="eastAsia"/>
          <w:lang w:val="en-US" w:eastAsia="zh-CN"/>
        </w:rPr>
      </w:pPr>
      <w:r>
        <w:rPr>
          <w:rFonts w:hint="eastAsia"/>
          <w:lang w:val="en-US" w:eastAsia="zh-CN"/>
        </w:rPr>
        <w:t>Gordon W. F. Drake, Jung-Sik Yoon, Daiji Kato, and Grzegorz Karwasz, eds.</w:t>
      </w:r>
    </w:p>
    <w:p>
      <w:pPr>
        <w:rPr>
          <w:rFonts w:hint="eastAsia"/>
          <w:lang w:val="en-US" w:eastAsia="zh-CN"/>
        </w:rPr>
      </w:pPr>
    </w:p>
    <w:p>
      <w:pPr>
        <w:rPr>
          <w:rFonts w:hint="eastAsia"/>
          <w:lang w:val="en-US" w:eastAsia="zh-CN"/>
        </w:rPr>
      </w:pPr>
      <w:r>
        <w:rPr>
          <w:rFonts w:hint="eastAsia"/>
          <w:lang w:val="en-US" w:eastAsia="zh-CN"/>
        </w:rPr>
        <w:t>2018. Cambridge, Massachusetts. Atoms 7 (2019)</w:t>
      </w:r>
    </w:p>
    <w:p>
      <w:pPr>
        <w:rPr>
          <w:rFonts w:hint="eastAsia"/>
          <w:lang w:val="en-US" w:eastAsia="zh-CN"/>
        </w:rPr>
      </w:pPr>
      <w:r>
        <w:rPr>
          <w:rFonts w:hint="eastAsia"/>
          <w:lang w:val="en-US" w:eastAsia="zh-CN"/>
        </w:rPr>
        <w:t>James F. Babb and Nancy Brickhouse, eds.</w:t>
      </w:r>
    </w:p>
    <w:p>
      <w:pPr>
        <w:rPr>
          <w:rFonts w:hint="eastAsia"/>
          <w:lang w:val="en-US" w:eastAsia="zh-CN"/>
        </w:rPr>
      </w:pPr>
      <w:r>
        <w:rPr>
          <w:rFonts w:hint="eastAsia"/>
          <w:lang w:val="en-US" w:eastAsia="zh-CN"/>
        </w:rPr>
        <w:t>contributed abstracts</w:t>
      </w:r>
    </w:p>
    <w:p>
      <w:pPr>
        <w:rPr>
          <w:rFonts w:hint="eastAsia"/>
          <w:lang w:val="en-US" w:eastAsia="zh-CN"/>
        </w:rPr>
      </w:pPr>
    </w:p>
    <w:p>
      <w:pPr>
        <w:rPr>
          <w:rFonts w:hint="eastAsia"/>
          <w:lang w:val="en-US" w:eastAsia="zh-CN"/>
        </w:rPr>
      </w:pPr>
      <w:r>
        <w:rPr>
          <w:rFonts w:hint="eastAsia"/>
          <w:lang w:val="en-US" w:eastAsia="zh-CN"/>
        </w:rPr>
        <w:t>2022. Mola di Bari, Italy. Eur. Phys. J. D (Topical Issue) (2023)</w:t>
      </w:r>
    </w:p>
    <w:p>
      <w:pPr>
        <w:rPr>
          <w:rFonts w:hint="eastAsia"/>
          <w:lang w:val="en-US" w:eastAsia="zh-CN"/>
        </w:rPr>
      </w:pPr>
      <w:r>
        <w:rPr>
          <w:rFonts w:hint="eastAsia"/>
          <w:lang w:val="en-US" w:eastAsia="zh-CN"/>
        </w:rPr>
        <w:t>Annarita Laricchiuta, Iouli E. Gordon, Christian Hill, Gianpiero Colonna and Sylwia Ptasinska (Guest editors)</w:t>
      </w:r>
    </w:p>
    <w:p>
      <w:pPr>
        <w:pStyle w:val="2"/>
        <w:bidi w:val="0"/>
        <w:rPr>
          <w:rFonts w:hint="eastAsia"/>
          <w:lang w:val="en-US" w:eastAsia="zh-CN"/>
        </w:rPr>
      </w:pPr>
      <w:r>
        <w:rPr>
          <w:rFonts w:hint="eastAsia"/>
          <w:lang w:val="en-US" w:eastAsia="zh-CN"/>
        </w:rPr>
        <w:t>Venue</w:t>
      </w:r>
    </w:p>
    <w:p>
      <w:pPr>
        <w:pStyle w:val="3"/>
        <w:bidi w:val="0"/>
        <w:rPr>
          <w:rFonts w:hint="eastAsia"/>
          <w:lang w:val="en-US" w:eastAsia="zh-CN"/>
        </w:rPr>
      </w:pPr>
      <w:r>
        <w:rPr>
          <w:rFonts w:hint="eastAsia"/>
          <w:lang w:val="en-US" w:eastAsia="zh-CN"/>
        </w:rPr>
        <w:t>Gansu Province</w:t>
      </w:r>
    </w:p>
    <w:p>
      <w:pPr>
        <w:rPr>
          <w:rFonts w:hint="default"/>
          <w:lang w:val="en-US" w:eastAsia="zh-CN"/>
        </w:rPr>
      </w:pPr>
      <w:r>
        <w:rPr>
          <w:rFonts w:hint="default"/>
          <w:lang w:val="en-US" w:eastAsia="zh-CN"/>
        </w:rPr>
        <w:t>Gansu is a province located in northwest China, known for its rich cultural and historical heritage. One of its most famous attractions is the Mogao Caves in Dunhuang, also known as the "Caves of the Thousand Buddhas". These caves contain some of the finest examples of Buddhist art and architecture in the world, dating back to the 4th century AD.</w:t>
      </w:r>
      <w:r>
        <w:rPr>
          <w:rFonts w:hint="eastAsia"/>
          <w:lang w:val="en-US" w:eastAsia="zh-CN"/>
        </w:rPr>
        <w:t>(配图敦煌)</w:t>
      </w:r>
    </w:p>
    <w:p>
      <w:pPr>
        <w:rPr>
          <w:rFonts w:hint="default"/>
          <w:lang w:val="en-US" w:eastAsia="zh-CN"/>
        </w:rPr>
      </w:pPr>
    </w:p>
    <w:p>
      <w:pPr>
        <w:rPr>
          <w:rFonts w:hint="eastAsia"/>
          <w:lang w:val="en-US" w:eastAsia="zh-CN"/>
        </w:rPr>
      </w:pPr>
      <w:r>
        <w:rPr>
          <w:rFonts w:hint="default"/>
          <w:lang w:val="en-US" w:eastAsia="zh-CN"/>
        </w:rPr>
        <w:t>Another notable site in Gansu is the Maijishan Mountain, which features a series of cliff-side grottoes containing Buddhist statues and murals. The area also offers stunning views of the surrounding landscape, making it a popular destination for nature lovers and hikers.</w:t>
      </w:r>
      <w:r>
        <w:rPr>
          <w:rFonts w:hint="eastAsia"/>
          <w:lang w:val="en-US" w:eastAsia="zh-CN"/>
        </w:rPr>
        <w:t>(配图麦积山)</w:t>
      </w:r>
    </w:p>
    <w:p>
      <w:pPr>
        <w:rPr>
          <w:rFonts w:hint="eastAsia"/>
          <w:lang w:val="en-US" w:eastAsia="zh-CN"/>
        </w:rPr>
      </w:pPr>
    </w:p>
    <w:p>
      <w:pPr>
        <w:rPr>
          <w:rFonts w:hint="default"/>
          <w:lang w:val="en-US" w:eastAsia="zh-CN"/>
        </w:rPr>
      </w:pPr>
      <w:r>
        <w:rPr>
          <w:rFonts w:hint="default"/>
          <w:lang w:val="en-US" w:eastAsia="zh-CN"/>
        </w:rPr>
        <w:t>Additionally, the vast grasslands of Gannan offer a unique opportunity to experience the beauty of China's natural environment and traditional nomadic culture</w:t>
      </w:r>
      <w:r>
        <w:rPr>
          <w:rFonts w:hint="eastAsia"/>
          <w:lang w:val="en-US" w:eastAsia="zh-CN"/>
        </w:rPr>
        <w:t>.(甘南草原</w:t>
      </w:r>
      <w:bookmarkStart w:id="0" w:name="_GoBack"/>
      <w:bookmarkEnd w:id="0"/>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Overall, Gansu is a fascinating destination for anyone interested in Chinese culture and history, and would make a great addition to any international academic conference itinerary.</w:t>
      </w:r>
    </w:p>
    <w:p>
      <w:pPr>
        <w:pStyle w:val="3"/>
        <w:bidi w:val="0"/>
        <w:rPr>
          <w:rFonts w:hint="eastAsia"/>
          <w:lang w:val="en-US" w:eastAsia="zh-CN"/>
        </w:rPr>
      </w:pPr>
      <w:r>
        <w:rPr>
          <w:rFonts w:hint="eastAsia"/>
          <w:lang w:val="en-US" w:eastAsia="zh-CN"/>
        </w:rPr>
        <w:t>Lanzhou</w:t>
      </w:r>
    </w:p>
    <w:p>
      <w:pPr>
        <w:rPr>
          <w:rFonts w:hint="default"/>
          <w:lang w:val="en-US" w:eastAsia="zh-CN"/>
        </w:rPr>
      </w:pPr>
      <w:r>
        <w:rPr>
          <w:rFonts w:hint="eastAsia"/>
          <w:lang w:val="en-US" w:eastAsia="zh-CN"/>
        </w:rPr>
        <w:t>Lanzhou, the capital of Gansu Province, is located in the geometric center of China's land map, and is an important central city, industrial base and comprehensive transportation hub in Northwest China, as well as a core node city of the Silk Road Economic Belt. With a history of over 2,000 years, it has a rich cultural heritage that attracts many tourists every year. One of the most famous historical sites in Lanzhou is the White Pagoda Mountain, which features a towering white pagoda that was built during the Tang Dynasty (618 to 907 A.D). The Gansu Provincial Museum, which houses many ancient artifacts and exhibits that showcase the region's history and culture, is also famous. (配图白塔山，省博)</w:t>
      </w:r>
    </w:p>
    <w:p>
      <w:pPr>
        <w:rPr>
          <w:rFonts w:hint="eastAsia"/>
          <w:lang w:val="en-US" w:eastAsia="zh-CN"/>
        </w:rPr>
      </w:pPr>
    </w:p>
    <w:p>
      <w:pPr>
        <w:rPr>
          <w:rFonts w:hint="default"/>
          <w:lang w:val="en-US" w:eastAsia="zh-CN"/>
        </w:rPr>
      </w:pPr>
      <w:r>
        <w:rPr>
          <w:rFonts w:hint="eastAsia"/>
          <w:lang w:val="en-US" w:eastAsia="zh-CN"/>
        </w:rPr>
        <w:t>In addition to its historical sites, Lanzhou is also known for its natural scenery. Lanzhou is the only provincial capital where the Yellow River passes through the city, provides a beautiful backdrop for visitors. The Bingling Temple Grottoes, located just outside of Lanzhou, are also a must-see for tourists. (配图黄河与炳灵寺石窟)</w:t>
      </w:r>
    </w:p>
    <w:p>
      <w:pPr>
        <w:rPr>
          <w:rFonts w:hint="eastAsia"/>
          <w:lang w:val="en-US" w:eastAsia="zh-CN"/>
        </w:rPr>
      </w:pPr>
      <w:r>
        <w:rPr>
          <w:rFonts w:hint="eastAsia"/>
          <w:lang w:val="en-US" w:eastAsia="zh-CN"/>
        </w:rPr>
        <w:t xml:space="preserve">Lanzhou is a city that offers a unique blend of history, culture, and natural beauty. We hope you enjoy the trip to Lanzhou and NWNU. </w:t>
      </w:r>
    </w:p>
    <w:p>
      <w:pPr>
        <w:pStyle w:val="3"/>
        <w:bidi w:val="0"/>
        <w:rPr>
          <w:rFonts w:hint="eastAsia"/>
          <w:lang w:val="en-US" w:eastAsia="zh-CN"/>
        </w:rPr>
      </w:pPr>
      <w:r>
        <w:rPr>
          <w:rFonts w:hint="eastAsia"/>
          <w:lang w:val="en-US" w:eastAsia="zh-CN"/>
        </w:rPr>
        <w:t>Northwest Normal University</w:t>
      </w:r>
    </w:p>
    <w:p>
      <w:pPr>
        <w:rPr>
          <w:rFonts w:hint="eastAsia"/>
          <w:lang w:val="en-US" w:eastAsia="zh-CN"/>
        </w:rPr>
      </w:pPr>
      <w:r>
        <w:rPr>
          <w:rFonts w:hint="eastAsia"/>
          <w:lang w:val="en-US" w:eastAsia="zh-CN"/>
        </w:rPr>
        <w:t>Northwest Normal University (NWNU) is a key university jointly constructed by the People's Government of Gansu Province and the Ministry of Education. Its predecessor is the National Beiping Normal University, which was founded in 1902 as the Normal Hall of the Peking Normal University, changed to the "National Beijing Higher Normal School" in 1912, and changed to the "National Beiping Normal University" in 1923. It moved to Lanzhou in 1941. In 2020, the school was listed as a provincial university supported by the People's Government of Gansu Province to enter the construction of the first-class universities in the country.</w:t>
      </w:r>
    </w:p>
    <w:p>
      <w:pPr>
        <w:rPr>
          <w:rFonts w:hint="eastAsia"/>
          <w:lang w:val="en-US" w:eastAsia="zh-CN"/>
        </w:rPr>
      </w:pPr>
      <w:r>
        <w:rPr>
          <w:rFonts w:hint="eastAsia"/>
          <w:lang w:val="en-US" w:eastAsia="zh-CN"/>
        </w:rPr>
        <w:t>Since its independent establishment, more than 290,000 students had been trained and grown up. The university enrolls students from 31 provinces (autonomous regions and municipalities directly under the central government) in China, and there are currently 29,586 students enrolled in various types of schools, including 18,105 ordinary undergraduates, 865 doctoral students, 10,170 master's degree students, and 446 international students. There are 2,627 faculty members in the university, with 375 full senior titles, 887 associate titles, 990 with doctoral degrees and 935 with master's degrees. Among them, 1,739 are full-time teachers, 351 are professors and 703 are associate professors.</w:t>
      </w:r>
    </w:p>
    <w:p>
      <w:pPr>
        <w:pStyle w:val="3"/>
        <w:bidi w:val="0"/>
        <w:rPr>
          <w:rFonts w:hint="eastAsia"/>
          <w:lang w:val="en-US" w:eastAsia="zh-CN"/>
        </w:rPr>
      </w:pPr>
      <w:r>
        <w:rPr>
          <w:rFonts w:hint="eastAsia"/>
          <w:lang w:val="en-US" w:eastAsia="zh-CN"/>
        </w:rPr>
        <w:t xml:space="preserve">Accommodation </w:t>
      </w:r>
    </w:p>
    <w:p>
      <w:pPr>
        <w:rPr>
          <w:rFonts w:hint="eastAsia"/>
          <w:lang w:val="en-US" w:eastAsia="zh-CN"/>
        </w:rPr>
      </w:pPr>
      <w:r>
        <w:rPr>
          <w:rFonts w:hint="eastAsia"/>
          <w:lang w:val="en-US" w:eastAsia="zh-CN"/>
        </w:rPr>
        <w:t>The ICAMDATA conference will be held in the International Academic Exchange Center of Northwest Normal University.</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27320" cy="3479800"/>
            <wp:effectExtent l="0" t="0" r="1143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227320" cy="347980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Detailed information about the accommodation will be updated soon. </w:t>
      </w:r>
    </w:p>
    <w:p>
      <w:pPr>
        <w:rPr>
          <w:rFonts w:hint="eastAsia"/>
          <w:lang w:val="en-US" w:eastAsia="zh-CN"/>
        </w:rPr>
      </w:pPr>
    </w:p>
    <w:p>
      <w:pPr>
        <w:rPr>
          <w:rFonts w:hint="default"/>
          <w:lang w:val="en-US" w:eastAsia="zh-CN"/>
        </w:rPr>
      </w:pPr>
      <w:r>
        <w:rPr>
          <w:rFonts w:hint="eastAsia"/>
          <w:lang w:val="en-US" w:eastAsia="zh-CN"/>
        </w:rPr>
        <w:t>Single room</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307840" cy="2868295"/>
            <wp:effectExtent l="0" t="0" r="16510" b="825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4307840" cy="2868295"/>
                    </a:xfrm>
                    <a:prstGeom prst="rect">
                      <a:avLst/>
                    </a:prstGeom>
                    <a:noFill/>
                    <a:ln w="9525">
                      <a:noFill/>
                    </a:ln>
                  </pic:spPr>
                </pic:pic>
              </a:graphicData>
            </a:graphic>
          </wp:inline>
        </w:drawing>
      </w:r>
    </w:p>
    <w:p>
      <w:pPr>
        <w:rPr>
          <w:rFonts w:hint="default"/>
          <w:lang w:val="en-US" w:eastAsia="zh-CN"/>
        </w:rPr>
      </w:pPr>
      <w:r>
        <w:rPr>
          <w:rFonts w:hint="eastAsia"/>
          <w:lang w:val="en-US" w:eastAsia="zh-CN"/>
        </w:rPr>
        <w:t>Double room</w:t>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295775" cy="2860040"/>
            <wp:effectExtent l="0" t="0" r="9525" b="1651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9"/>
                    <a:stretch>
                      <a:fillRect/>
                    </a:stretch>
                  </pic:blipFill>
                  <pic:spPr>
                    <a:xfrm>
                      <a:off x="0" y="0"/>
                      <a:ext cx="4295775" cy="2860040"/>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Travel Info</w:t>
      </w:r>
    </w:p>
    <w:p>
      <w:pPr>
        <w:jc w:val="left"/>
        <w:rPr>
          <w:rFonts w:hint="eastAsia"/>
          <w:b/>
          <w:bCs/>
          <w:lang w:val="en-US" w:eastAsia="zh-CN"/>
        </w:rPr>
      </w:pPr>
      <w:r>
        <w:rPr>
          <w:rFonts w:hint="eastAsia"/>
          <w:b/>
          <w:bCs/>
          <w:lang w:val="en-US" w:eastAsia="zh-CN"/>
        </w:rPr>
        <w:t>How to Reach Lanzhou</w:t>
      </w:r>
    </w:p>
    <w:p>
      <w:pPr>
        <w:jc w:val="left"/>
        <w:rPr>
          <w:rFonts w:hint="eastAsia"/>
          <w:lang w:val="en-US" w:eastAsia="zh-CN"/>
        </w:rPr>
      </w:pPr>
      <w:r>
        <w:rPr>
          <w:rFonts w:hint="eastAsia"/>
          <w:lang w:val="en-US" w:eastAsia="zh-CN"/>
        </w:rPr>
        <w:t>The closest airport is the Lanzhou Zhongchuan International Airport (IATA Code：LHW), located at approximately 56 km Northwest from the Northwest Normal University. The airport is connected by domestic flights to the international airports of Beijing, Shanghai, Xian, Guangzhou and some other cities.</w:t>
      </w:r>
    </w:p>
    <w:p>
      <w:pPr>
        <w:jc w:val="left"/>
        <w:rPr>
          <w:rFonts w:hint="eastAsia"/>
          <w:lang w:val="en-US" w:eastAsia="zh-CN"/>
        </w:rPr>
      </w:pPr>
    </w:p>
    <w:p>
      <w:pPr>
        <w:jc w:val="left"/>
        <w:rPr>
          <w:rFonts w:hint="eastAsia"/>
          <w:b/>
          <w:bCs/>
          <w:lang w:val="en-US" w:eastAsia="zh-CN"/>
        </w:rPr>
      </w:pPr>
      <w:r>
        <w:rPr>
          <w:rFonts w:hint="eastAsia"/>
          <w:b/>
          <w:bCs/>
          <w:lang w:val="en-US" w:eastAsia="zh-CN"/>
        </w:rPr>
        <w:t>From the Airport to Northwest Normal University</w:t>
      </w:r>
    </w:p>
    <w:p>
      <w:pPr>
        <w:pBdr>
          <w:bottom w:val="single" w:color="auto" w:sz="4" w:space="0"/>
        </w:pBdr>
        <w:jc w:val="left"/>
        <w:rPr>
          <w:rFonts w:hint="eastAsia"/>
          <w:lang w:val="en-US" w:eastAsia="zh-CN"/>
        </w:rPr>
      </w:pPr>
      <w:r>
        <w:rPr>
          <w:rFonts w:hint="eastAsia"/>
          <w:lang w:val="en-US" w:eastAsia="zh-CN"/>
        </w:rPr>
        <w:t>The local organizing committee will offer FREE shuttle bus to pick you up at the airport from 10 a.m. until 9 p.m. in Sep. 15. The detailed time schedule of the shuttle bus will be updated later. It will depend on the participants</w:t>
      </w:r>
      <w:r>
        <w:rPr>
          <w:rFonts w:hint="default"/>
          <w:lang w:val="en-US" w:eastAsia="zh-CN"/>
        </w:rPr>
        <w:t>’</w:t>
      </w:r>
      <w:r>
        <w:rPr>
          <w:rFonts w:hint="eastAsia"/>
          <w:lang w:val="en-US" w:eastAsia="zh-CN"/>
        </w:rPr>
        <w:t xml:space="preserve"> arriving time. </w:t>
      </w:r>
    </w:p>
    <w:p>
      <w:pPr>
        <w:pBdr>
          <w:bottom w:val="single" w:color="auto" w:sz="4" w:space="0"/>
        </w:pBdr>
        <w:jc w:val="left"/>
        <w:rPr>
          <w:rFonts w:hint="eastAsia"/>
          <w:lang w:val="en-US" w:eastAsia="zh-CN"/>
        </w:rPr>
      </w:pPr>
    </w:p>
    <w:p>
      <w:pPr>
        <w:jc w:val="left"/>
        <w:rPr>
          <w:rFonts w:hint="eastAsia"/>
          <w:lang w:val="en-US" w:eastAsia="zh-CN"/>
        </w:rPr>
      </w:pPr>
      <w:r>
        <w:rPr>
          <w:rFonts w:hint="eastAsia"/>
          <w:lang w:val="en-US" w:eastAsia="zh-CN"/>
        </w:rPr>
        <w:t>Shuttle Bus Time Table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jc w:val="left"/>
              <w:rPr>
                <w:rFonts w:hint="default"/>
                <w:vertAlign w:val="baseline"/>
                <w:lang w:val="en-US" w:eastAsia="zh-CN"/>
              </w:rPr>
            </w:pPr>
          </w:p>
        </w:tc>
        <w:tc>
          <w:tcPr>
            <w:tcW w:w="1217" w:type="dxa"/>
          </w:tcPr>
          <w:p>
            <w:pPr>
              <w:jc w:val="left"/>
              <w:rPr>
                <w:rFonts w:hint="default"/>
                <w:vertAlign w:val="baseline"/>
                <w:lang w:val="en-US" w:eastAsia="zh-CN"/>
              </w:rPr>
            </w:pPr>
          </w:p>
        </w:tc>
        <w:tc>
          <w:tcPr>
            <w:tcW w:w="1217" w:type="dxa"/>
          </w:tcPr>
          <w:p>
            <w:pPr>
              <w:jc w:val="left"/>
              <w:rPr>
                <w:rFonts w:hint="default"/>
                <w:vertAlign w:val="baseline"/>
                <w:lang w:val="en-US" w:eastAsia="zh-CN"/>
              </w:rPr>
            </w:pPr>
          </w:p>
        </w:tc>
        <w:tc>
          <w:tcPr>
            <w:tcW w:w="1217" w:type="dxa"/>
          </w:tcPr>
          <w:p>
            <w:pPr>
              <w:jc w:val="left"/>
              <w:rPr>
                <w:rFonts w:hint="default"/>
                <w:vertAlign w:val="baseline"/>
                <w:lang w:val="en-US" w:eastAsia="zh-CN"/>
              </w:rPr>
            </w:pPr>
          </w:p>
        </w:tc>
        <w:tc>
          <w:tcPr>
            <w:tcW w:w="1218" w:type="dxa"/>
          </w:tcPr>
          <w:p>
            <w:pPr>
              <w:jc w:val="left"/>
              <w:rPr>
                <w:rFonts w:hint="default"/>
                <w:vertAlign w:val="baseline"/>
                <w:lang w:val="en-US" w:eastAsia="zh-CN"/>
              </w:rPr>
            </w:pPr>
          </w:p>
        </w:tc>
        <w:tc>
          <w:tcPr>
            <w:tcW w:w="1218" w:type="dxa"/>
          </w:tcPr>
          <w:p>
            <w:pPr>
              <w:jc w:val="left"/>
              <w:rPr>
                <w:rFonts w:hint="default"/>
                <w:vertAlign w:val="baseline"/>
                <w:lang w:val="en-US" w:eastAsia="zh-CN"/>
              </w:rPr>
            </w:pPr>
          </w:p>
        </w:tc>
        <w:tc>
          <w:tcPr>
            <w:tcW w:w="1218" w:type="dxa"/>
          </w:tcPr>
          <w:p>
            <w:pPr>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jc w:val="left"/>
              <w:rPr>
                <w:rFonts w:hint="default"/>
                <w:vertAlign w:val="baseline"/>
                <w:lang w:val="en-US" w:eastAsia="zh-CN"/>
              </w:rPr>
            </w:pPr>
          </w:p>
        </w:tc>
        <w:tc>
          <w:tcPr>
            <w:tcW w:w="1217" w:type="dxa"/>
          </w:tcPr>
          <w:p>
            <w:pPr>
              <w:jc w:val="left"/>
              <w:rPr>
                <w:rFonts w:hint="default"/>
                <w:vertAlign w:val="baseline"/>
                <w:lang w:val="en-US" w:eastAsia="zh-CN"/>
              </w:rPr>
            </w:pPr>
          </w:p>
        </w:tc>
        <w:tc>
          <w:tcPr>
            <w:tcW w:w="1217" w:type="dxa"/>
          </w:tcPr>
          <w:p>
            <w:pPr>
              <w:jc w:val="left"/>
              <w:rPr>
                <w:rFonts w:hint="default"/>
                <w:vertAlign w:val="baseline"/>
                <w:lang w:val="en-US" w:eastAsia="zh-CN"/>
              </w:rPr>
            </w:pPr>
          </w:p>
        </w:tc>
        <w:tc>
          <w:tcPr>
            <w:tcW w:w="1217" w:type="dxa"/>
          </w:tcPr>
          <w:p>
            <w:pPr>
              <w:jc w:val="left"/>
              <w:rPr>
                <w:rFonts w:hint="default"/>
                <w:vertAlign w:val="baseline"/>
                <w:lang w:val="en-US" w:eastAsia="zh-CN"/>
              </w:rPr>
            </w:pPr>
          </w:p>
        </w:tc>
        <w:tc>
          <w:tcPr>
            <w:tcW w:w="1218" w:type="dxa"/>
          </w:tcPr>
          <w:p>
            <w:pPr>
              <w:jc w:val="left"/>
              <w:rPr>
                <w:rFonts w:hint="default"/>
                <w:vertAlign w:val="baseline"/>
                <w:lang w:val="en-US" w:eastAsia="zh-CN"/>
              </w:rPr>
            </w:pPr>
          </w:p>
        </w:tc>
        <w:tc>
          <w:tcPr>
            <w:tcW w:w="1218" w:type="dxa"/>
          </w:tcPr>
          <w:p>
            <w:pPr>
              <w:jc w:val="left"/>
              <w:rPr>
                <w:rFonts w:hint="default"/>
                <w:vertAlign w:val="baseline"/>
                <w:lang w:val="en-US" w:eastAsia="zh-CN"/>
              </w:rPr>
            </w:pPr>
          </w:p>
        </w:tc>
        <w:tc>
          <w:tcPr>
            <w:tcW w:w="1218" w:type="dxa"/>
          </w:tcPr>
          <w:p>
            <w:pPr>
              <w:jc w:val="left"/>
              <w:rPr>
                <w:rFonts w:hint="default"/>
                <w:vertAlign w:val="baseline"/>
                <w:lang w:val="en-US" w:eastAsia="zh-CN"/>
              </w:rPr>
            </w:pPr>
          </w:p>
        </w:tc>
      </w:tr>
    </w:tbl>
    <w:p>
      <w:pPr>
        <w:jc w:val="left"/>
        <w:rPr>
          <w:rFonts w:hint="default"/>
          <w:lang w:val="en-US" w:eastAsia="zh-CN"/>
        </w:rPr>
      </w:pPr>
    </w:p>
    <w:p>
      <w:pPr>
        <w:pStyle w:val="3"/>
        <w:bidi w:val="0"/>
        <w:rPr>
          <w:rFonts w:hint="eastAsia"/>
          <w:lang w:val="en-US" w:eastAsia="zh-CN"/>
        </w:rPr>
      </w:pPr>
      <w:r>
        <w:rPr>
          <w:rFonts w:hint="eastAsia"/>
          <w:lang w:val="en-US" w:eastAsia="zh-CN"/>
        </w:rPr>
        <w:t>Social Programme</w:t>
      </w:r>
    </w:p>
    <w:p>
      <w:pPr>
        <w:pStyle w:val="2"/>
        <w:bidi w:val="0"/>
        <w:rPr>
          <w:rFonts w:hint="eastAsia"/>
          <w:lang w:val="en-US" w:eastAsia="zh-CN"/>
        </w:rPr>
      </w:pPr>
      <w:r>
        <w:rPr>
          <w:rFonts w:hint="eastAsia"/>
          <w:lang w:val="en-US" w:eastAsia="zh-CN"/>
        </w:rPr>
        <w:t>Registration</w:t>
      </w:r>
    </w:p>
    <w:p>
      <w:pPr>
        <w:rPr>
          <w:rFonts w:hint="default"/>
          <w:lang w:val="en-US" w:eastAsia="zh-CN"/>
        </w:rPr>
      </w:pPr>
      <w:r>
        <w:rPr>
          <w:rFonts w:hint="eastAsia"/>
          <w:lang w:val="en-US" w:eastAsia="zh-CN"/>
        </w:rPr>
        <w:t xml:space="preserve">Registration will be open at </w:t>
      </w:r>
      <w:r>
        <w:rPr>
          <w:rFonts w:hint="eastAsia"/>
          <w:vertAlign w:val="baseline"/>
          <w:lang w:val="en-US" w:eastAsia="zh-CN"/>
        </w:rPr>
        <w:t>March 1, 2024</w:t>
      </w:r>
      <w:r>
        <w:rPr>
          <w:rFonts w:hint="eastAsia"/>
          <w:lang w:val="en-US" w:eastAsia="zh-CN"/>
        </w:rPr>
        <w:t xml:space="preserve">. </w:t>
      </w:r>
    </w:p>
    <w:p>
      <w:pPr>
        <w:pStyle w:val="2"/>
        <w:bidi w:val="0"/>
        <w:rPr>
          <w:rFonts w:hint="eastAsia"/>
          <w:lang w:val="en-US" w:eastAsia="zh-CN"/>
        </w:rPr>
      </w:pPr>
      <w:r>
        <w:rPr>
          <w:rFonts w:hint="eastAsia"/>
          <w:lang w:val="en-US" w:eastAsia="zh-CN"/>
        </w:rPr>
        <w:t>Dates</w:t>
      </w:r>
    </w:p>
    <w:p>
      <w:pPr>
        <w:rPr>
          <w:rFonts w:hint="eastAsia"/>
          <w:lang w:val="en-US" w:eastAsia="zh-CN"/>
        </w:rPr>
      </w:pPr>
      <w:r>
        <w:rPr>
          <w:rFonts w:hint="eastAsia"/>
          <w:lang w:val="en-US" w:eastAsia="zh-CN"/>
        </w:rPr>
        <w:t>Important Date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pPr>
              <w:rPr>
                <w:rFonts w:hint="eastAsia"/>
                <w:vertAlign w:val="baseline"/>
                <w:lang w:val="en-US" w:eastAsia="zh-CN"/>
              </w:rPr>
            </w:pPr>
            <w:r>
              <w:rPr>
                <w:rFonts w:hint="eastAsia"/>
                <w:lang w:val="en-US" w:eastAsia="zh-CN"/>
              </w:rPr>
              <w:t>October 28, 2023</w:t>
            </w:r>
          </w:p>
        </w:tc>
        <w:tc>
          <w:tcPr>
            <w:tcW w:w="6025" w:type="dxa"/>
          </w:tcPr>
          <w:p>
            <w:pPr>
              <w:rPr>
                <w:rFonts w:hint="default"/>
                <w:vertAlign w:val="baseline"/>
                <w:lang w:val="en-US" w:eastAsia="zh-CN"/>
              </w:rPr>
            </w:pPr>
            <w:r>
              <w:rPr>
                <w:rFonts w:hint="eastAsia"/>
                <w:lang w:val="en-US" w:eastAsia="zh-CN"/>
              </w:rPr>
              <w:t>First Announcement, Conference web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pPr>
              <w:rPr>
                <w:rFonts w:hint="default"/>
                <w:vertAlign w:val="baseline"/>
                <w:lang w:val="en-US" w:eastAsia="zh-CN"/>
              </w:rPr>
            </w:pPr>
            <w:r>
              <w:rPr>
                <w:rFonts w:hint="eastAsia"/>
                <w:vertAlign w:val="baseline"/>
                <w:lang w:val="en-US" w:eastAsia="zh-CN"/>
              </w:rPr>
              <w:t>March 1, 2024</w:t>
            </w:r>
          </w:p>
        </w:tc>
        <w:tc>
          <w:tcPr>
            <w:tcW w:w="6025" w:type="dxa"/>
          </w:tcPr>
          <w:p>
            <w:pPr>
              <w:rPr>
                <w:rFonts w:hint="default"/>
                <w:vertAlign w:val="baseline"/>
                <w:lang w:val="en-US" w:eastAsia="zh-CN"/>
              </w:rPr>
            </w:pPr>
            <w:r>
              <w:rPr>
                <w:rFonts w:hint="eastAsia"/>
                <w:lang w:val="en-US" w:eastAsia="zh-CN"/>
              </w:rPr>
              <w:t>Registration Open and Abstract Submission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pPr>
              <w:rPr>
                <w:rFonts w:hint="default"/>
                <w:vertAlign w:val="baseline"/>
                <w:lang w:val="en-US" w:eastAsia="zh-CN"/>
              </w:rPr>
            </w:pPr>
            <w:r>
              <w:rPr>
                <w:rFonts w:hint="eastAsia"/>
                <w:vertAlign w:val="baseline"/>
                <w:lang w:val="en-US" w:eastAsia="zh-CN"/>
              </w:rPr>
              <w:t>May 1, 2024</w:t>
            </w:r>
          </w:p>
        </w:tc>
        <w:tc>
          <w:tcPr>
            <w:tcW w:w="6025" w:type="dxa"/>
          </w:tcPr>
          <w:p>
            <w:pPr>
              <w:rPr>
                <w:rFonts w:hint="eastAsia"/>
                <w:lang w:val="en-US" w:eastAsia="zh-CN"/>
              </w:rPr>
            </w:pPr>
            <w:r>
              <w:rPr>
                <w:rFonts w:hint="eastAsia"/>
                <w:lang w:val="en-US" w:eastAsia="zh-CN"/>
              </w:rPr>
              <w:t>Student Grant application deadline</w:t>
            </w:r>
          </w:p>
          <w:p>
            <w:pPr>
              <w:rPr>
                <w:rFonts w:hint="eastAsia"/>
                <w:lang w:val="en-US" w:eastAsia="zh-CN"/>
              </w:rPr>
            </w:pPr>
            <w:r>
              <w:rPr>
                <w:rFonts w:hint="eastAsia"/>
                <w:lang w:val="en-US" w:eastAsia="zh-CN"/>
              </w:rPr>
              <w:t>IAEA support application 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pPr>
              <w:rPr>
                <w:rFonts w:hint="default"/>
                <w:vertAlign w:val="baseline"/>
                <w:lang w:val="en-US" w:eastAsia="zh-CN"/>
              </w:rPr>
            </w:pPr>
            <w:r>
              <w:rPr>
                <w:rFonts w:hint="eastAsia"/>
                <w:vertAlign w:val="baseline"/>
                <w:lang w:val="en-US" w:eastAsia="zh-CN"/>
              </w:rPr>
              <w:t>June 15, 2024</w:t>
            </w:r>
          </w:p>
        </w:tc>
        <w:tc>
          <w:tcPr>
            <w:tcW w:w="6025" w:type="dxa"/>
          </w:tcPr>
          <w:p>
            <w:pPr>
              <w:rPr>
                <w:rFonts w:hint="default"/>
                <w:vertAlign w:val="baseline"/>
                <w:lang w:val="en-US" w:eastAsia="zh-CN"/>
              </w:rPr>
            </w:pPr>
            <w:r>
              <w:rPr>
                <w:rFonts w:hint="default"/>
                <w:vertAlign w:val="baseline"/>
                <w:lang w:val="en-US" w:eastAsia="zh-CN"/>
              </w:rPr>
              <w:t>Abstract Submission 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pPr>
              <w:rPr>
                <w:rFonts w:hint="default"/>
                <w:vertAlign w:val="baseline"/>
                <w:lang w:val="en-US" w:eastAsia="zh-CN"/>
              </w:rPr>
            </w:pPr>
            <w:r>
              <w:rPr>
                <w:rFonts w:hint="eastAsia"/>
                <w:vertAlign w:val="baseline"/>
                <w:lang w:val="en-US" w:eastAsia="zh-CN"/>
              </w:rPr>
              <w:t>July 20, 2024</w:t>
            </w:r>
          </w:p>
        </w:tc>
        <w:tc>
          <w:tcPr>
            <w:tcW w:w="6025" w:type="dxa"/>
          </w:tcPr>
          <w:p>
            <w:pPr>
              <w:rPr>
                <w:rFonts w:hint="default"/>
                <w:vertAlign w:val="baseline"/>
                <w:lang w:val="en-US" w:eastAsia="zh-CN"/>
              </w:rPr>
            </w:pPr>
            <w:r>
              <w:rPr>
                <w:rFonts w:hint="eastAsia"/>
                <w:vertAlign w:val="baseline"/>
                <w:lang w:val="en-US" w:eastAsia="zh-CN"/>
              </w:rPr>
              <w:t>Abstract Acceptance 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pPr>
              <w:rPr>
                <w:rFonts w:hint="default"/>
                <w:vertAlign w:val="baseline"/>
                <w:lang w:val="en-US" w:eastAsia="zh-CN"/>
              </w:rPr>
            </w:pPr>
            <w:r>
              <w:rPr>
                <w:rFonts w:hint="eastAsia"/>
                <w:vertAlign w:val="baseline"/>
                <w:lang w:val="en-US" w:eastAsia="zh-CN"/>
              </w:rPr>
              <w:t>September 15-19, 2024</w:t>
            </w:r>
          </w:p>
        </w:tc>
        <w:tc>
          <w:tcPr>
            <w:tcW w:w="6025" w:type="dxa"/>
          </w:tcPr>
          <w:p>
            <w:pPr>
              <w:rPr>
                <w:rFonts w:hint="default"/>
                <w:vertAlign w:val="baseline"/>
                <w:lang w:val="en-US" w:eastAsia="zh-CN"/>
              </w:rPr>
            </w:pPr>
            <w:r>
              <w:rPr>
                <w:rFonts w:hint="eastAsia"/>
                <w:vertAlign w:val="baseline"/>
                <w:lang w:val="en-US" w:eastAsia="zh-CN"/>
              </w:rPr>
              <w:t>ICAMDATA conference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pPr>
              <w:rPr>
                <w:rFonts w:hint="default"/>
                <w:vertAlign w:val="baseline"/>
                <w:lang w:val="en-US" w:eastAsia="zh-CN"/>
              </w:rPr>
            </w:pPr>
            <w:r>
              <w:rPr>
                <w:rFonts w:hint="eastAsia"/>
                <w:vertAlign w:val="baseline"/>
                <w:lang w:val="en-US" w:eastAsia="zh-CN"/>
              </w:rPr>
              <w:t>December 15, 2024</w:t>
            </w:r>
          </w:p>
        </w:tc>
        <w:tc>
          <w:tcPr>
            <w:tcW w:w="6025" w:type="dxa"/>
          </w:tcPr>
          <w:p>
            <w:pPr>
              <w:rPr>
                <w:rFonts w:hint="default"/>
                <w:vertAlign w:val="baseline"/>
                <w:lang w:val="en-US" w:eastAsia="zh-CN"/>
              </w:rPr>
            </w:pPr>
            <w:r>
              <w:rPr>
                <w:rFonts w:hint="default"/>
                <w:vertAlign w:val="baseline"/>
                <w:lang w:val="en-US" w:eastAsia="zh-CN"/>
              </w:rPr>
              <w:t>deadline for the submission to the Topical Issue of the</w:t>
            </w:r>
            <w:r>
              <w:rPr>
                <w:rFonts w:hint="default"/>
                <w:highlight w:val="none"/>
                <w:vertAlign w:val="baseline"/>
                <w:lang w:val="en-US" w:eastAsia="zh-CN"/>
              </w:rPr>
              <w:t xml:space="preserve"> European Physical Journal D Atomic and Molecular Data and Their Applications: ICAMDATA2022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pPr>
              <w:rPr>
                <w:rFonts w:hint="default"/>
                <w:vertAlign w:val="baseline"/>
                <w:lang w:val="en-US" w:eastAsia="zh-CN"/>
              </w:rPr>
            </w:pPr>
          </w:p>
        </w:tc>
        <w:tc>
          <w:tcPr>
            <w:tcW w:w="6025" w:type="dxa"/>
          </w:tcPr>
          <w:p>
            <w:pPr>
              <w:rPr>
                <w:rFonts w:hint="eastAsia"/>
                <w:vertAlign w:val="baseline"/>
                <w:lang w:val="en-US" w:eastAsia="zh-CN"/>
              </w:rPr>
            </w:pPr>
          </w:p>
        </w:tc>
      </w:tr>
    </w:tbl>
    <w:p>
      <w:pPr>
        <w:rPr>
          <w:rFonts w:hint="default"/>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Style w:val="10"/>
          <w:rFonts w:hint="eastAsia"/>
          <w:lang w:val="en-US" w:eastAsia="zh-CN"/>
        </w:rPr>
        <w:t>ICAMDATA Chapter</w:t>
      </w:r>
      <w:r>
        <w:rPr>
          <w:rFonts w:hint="eastAsia"/>
          <w:lang w:val="en-US" w:eastAsia="zh-CN"/>
        </w:rPr>
        <w:t>(外部链接)</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"https://physics.nist.gov/Icamdata/Homepage/charter.html" </w:instrText>
      </w:r>
      <w:r>
        <w:rPr>
          <w:rFonts w:hint="default"/>
          <w:lang w:val="en-US" w:eastAsia="zh-CN"/>
        </w:rPr>
        <w:fldChar w:fldCharType="separate"/>
      </w:r>
      <w:r>
        <w:rPr>
          <w:rStyle w:val="9"/>
          <w:rFonts w:hint="default"/>
          <w:lang w:val="en-US" w:eastAsia="zh-CN"/>
        </w:rPr>
        <w:t>https://physics.nist.gov/Icamdata/Homepage/charter.html</w:t>
      </w:r>
      <w:r>
        <w:rPr>
          <w:rFonts w:hint="default"/>
          <w:lang w:val="en-US" w:eastAsia="zh-CN"/>
        </w:rPr>
        <w:fldChar w:fldCharType="end"/>
      </w:r>
    </w:p>
    <w:p>
      <w:pPr>
        <w:rPr>
          <w:rFonts w:hint="default"/>
          <w:lang w:val="en-US" w:eastAsia="zh-CN"/>
        </w:rPr>
      </w:pPr>
    </w:p>
    <w:p>
      <w:pPr>
        <w:pStyle w:val="2"/>
        <w:bidi w:val="0"/>
        <w:rPr>
          <w:rFonts w:hint="eastAsia"/>
          <w:lang w:val="en-US" w:eastAsia="zh-CN"/>
        </w:rPr>
      </w:pPr>
      <w:r>
        <w:rPr>
          <w:rFonts w:hint="eastAsia"/>
          <w:lang w:val="en-US" w:eastAsia="zh-CN"/>
        </w:rPr>
        <w:t>History(外部链接)</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"https://physics.nist.gov/Icamdata/Homepage/icamdata.html" </w:instrText>
      </w:r>
      <w:r>
        <w:rPr>
          <w:rFonts w:hint="default"/>
          <w:lang w:val="en-US" w:eastAsia="zh-CN"/>
        </w:rPr>
        <w:fldChar w:fldCharType="separate"/>
      </w:r>
      <w:r>
        <w:rPr>
          <w:rStyle w:val="9"/>
          <w:rFonts w:hint="default"/>
          <w:lang w:val="en-US" w:eastAsia="zh-CN"/>
        </w:rPr>
        <w:t>https://physics.nist.gov/Icamdata/Homepage/icamdata.html</w:t>
      </w:r>
      <w:r>
        <w:rPr>
          <w:rFonts w:hint="default"/>
          <w:lang w:val="en-US" w:eastAsia="zh-CN"/>
        </w:rPr>
        <w:fldChar w:fldCharType="end"/>
      </w:r>
      <w:r>
        <w:rPr>
          <w:rFonts w:hint="eastAsia"/>
          <w:lang w:val="en-US" w:eastAsia="zh-CN"/>
        </w:rPr>
        <w:t xml:space="preserve"> </w:t>
      </w:r>
    </w:p>
    <w:p>
      <w:pPr>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FD348"/>
    <w:multiLevelType w:val="singleLevel"/>
    <w:tmpl w:val="9F1FD348"/>
    <w:lvl w:ilvl="0" w:tentative="0">
      <w:start w:val="1"/>
      <w:numFmt w:val="bullet"/>
      <w:lvlText w:val=""/>
      <w:lvlJc w:val="left"/>
      <w:pPr>
        <w:tabs>
          <w:tab w:val="left" w:pos="420"/>
        </w:tabs>
        <w:ind w:left="840" w:hanging="420"/>
      </w:pPr>
      <w:rPr>
        <w:rFonts w:hint="default" w:ascii="Wingdings" w:hAnsi="Wingdings"/>
      </w:rPr>
    </w:lvl>
  </w:abstractNum>
  <w:abstractNum w:abstractNumId="1">
    <w:nsid w:val="D885A177"/>
    <w:multiLevelType w:val="singleLevel"/>
    <w:tmpl w:val="D885A177"/>
    <w:lvl w:ilvl="0" w:tentative="0">
      <w:start w:val="1"/>
      <w:numFmt w:val="bullet"/>
      <w:lvlText w:val=""/>
      <w:lvlJc w:val="left"/>
      <w:pPr>
        <w:tabs>
          <w:tab w:val="left" w:pos="420"/>
        </w:tabs>
        <w:ind w:left="840" w:hanging="420"/>
      </w:pPr>
      <w:rPr>
        <w:rFonts w:hint="default" w:ascii="Wingdings" w:hAnsi="Wingdings"/>
      </w:rPr>
    </w:lvl>
  </w:abstractNum>
  <w:abstractNum w:abstractNumId="2">
    <w:nsid w:val="490A625F"/>
    <w:multiLevelType w:val="singleLevel"/>
    <w:tmpl w:val="490A625F"/>
    <w:lvl w:ilvl="0" w:tentative="0">
      <w:start w:val="1"/>
      <w:numFmt w:val="decimal"/>
      <w:suff w:val="space"/>
      <w:lvlText w:val="%1."/>
      <w:lvlJc w:val="left"/>
    </w:lvl>
  </w:abstractNum>
  <w:abstractNum w:abstractNumId="3">
    <w:nsid w:val="7633ADDA"/>
    <w:multiLevelType w:val="singleLevel"/>
    <w:tmpl w:val="7633ADDA"/>
    <w:lvl w:ilvl="0" w:tentative="0">
      <w:start w:val="1"/>
      <w:numFmt w:val="bullet"/>
      <w:lvlText w:val=""/>
      <w:lvlJc w:val="left"/>
      <w:pPr>
        <w:tabs>
          <w:tab w:val="left" w:pos="420"/>
        </w:tabs>
        <w:ind w:left="840"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JiZDQ1NTMxZTcxZDRlZDk4N2VkZjk5MjUzZjk4NTMifQ=="/>
  </w:docVars>
  <w:rsids>
    <w:rsidRoot w:val="00000000"/>
    <w:rsid w:val="0CB367E9"/>
    <w:rsid w:val="0EC77F26"/>
    <w:rsid w:val="63A90576"/>
    <w:rsid w:val="69AD42F3"/>
    <w:rsid w:val="7CCA2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rFonts w:asciiTheme="minorAscii" w:hAnsiTheme="minorAscii"/>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1"/>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0"/>
    <w:rPr>
      <w:i/>
    </w:rPr>
  </w:style>
  <w:style w:type="character" w:styleId="9">
    <w:name w:val="Hyperlink"/>
    <w:basedOn w:val="7"/>
    <w:qFormat/>
    <w:uiPriority w:val="0"/>
    <w:rPr>
      <w:color w:val="0000FF"/>
      <w:u w:val="single"/>
    </w:rPr>
  </w:style>
  <w:style w:type="character" w:customStyle="1" w:styleId="10">
    <w:name w:val="标题 1 Char"/>
    <w:link w:val="2"/>
    <w:qFormat/>
    <w:uiPriority w:val="0"/>
    <w:rPr>
      <w:rFonts w:asciiTheme="minorAscii" w:hAnsiTheme="minorAscii" w:eastAsiaTheme="minorEastAsia"/>
      <w:b/>
      <w:kern w:val="44"/>
      <w:sz w:val="5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2023-09-26T08:55:00Z</dcterms:created>
  <dc:creator>Administrator</dc:creator>
  <cp:lastModifiedBy>老衲不说</cp:lastModifiedBy>
  <dcterms:modified xsi:type="dcterms:W3CDTF">2023-10-09T09:19:46Z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EA57B7803ECF4758B18538972E99105B_12</vt:lpwstr>
  </property>
</Properties>
</file>