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关于开展基层治理专项工作的通知</w:t>
      </w:r>
    </w:p>
    <w:p>
      <w:r>
        <w:t>测试党发〔2026〕12号</w:t>
      </w:r>
    </w:p>
    <w:p>
      <w:r>
        <w:t>同志们：</w:t>
      </w:r>
    </w:p>
    <w:p>
      <w:r>
        <w:t>旧称发布于2026年。</w:t>
      </w:r>
    </w:p>
    <w:p>
      <w:r>
        <w:t>第12条</w:t>
      </w:r>
    </w:p>
    <w:p>
      <w:r>
        <w:rPr>
          <w:rFonts w:ascii="宋体" w:hAnsi="宋体" w:eastAsia="宋体"/>
          <w:sz w:val="32"/>
        </w:rPr>
        <w:t>格式文字</w:t>
      </w:r>
    </w:p>
    <w:p>
      <w:r>
        <w:t>这是用于转换和套红的正文内容。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