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bidi w:val="0"/>
        <w:spacing w:beforeAutospacing="0" w:after="560" w:afterAutospacing="0"/>
      </w:pPr>
      <w:bookmarkStart w:id="0" w:name="_GoBack"/>
      <w:bookmarkEnd w:id="0"/>
      <w:r>
        <w:rPr>
          <w:rStyle w:val="10"/>
        </w:rPr>
        <w:t>以有效覆盖提升新兴领域党建质效</w:t>
      </w:r>
    </w:p>
    <w:p>
      <w:pPr>
        <w:pStyle w:val="8"/>
        <w:bidi w:val="0"/>
        <w:spacing w:beforeAutospacing="0" w:afterAutospacing="0"/>
      </w:pPr>
      <w:r>
        <w:rPr>
          <w:rStyle w:val="11"/>
        </w:rPr>
        <w:t>同志们：</w:t>
      </w:r>
    </w:p>
    <w:p>
      <w:pPr>
        <w:pStyle w:val="6"/>
        <w:bidi w:val="0"/>
        <w:spacing w:beforeAutospacing="0" w:afterAutospacing="0"/>
        <w:rPr>
          <w:rStyle w:val="12"/>
        </w:rPr>
      </w:pPr>
      <w:r>
        <w:rPr>
          <w:rStyle w:val="12"/>
        </w:rPr>
        <w:t>中共中央、国务院印发的《关于加强新时代社会工作的意见》强调，加强新兴领域党的建设，推动党的组织覆盖和工作覆盖有形有效。随着新经济组织、新社会组织和新就业群体不断发展，组织形态、就业方式、利益诉求呈现出流动化、平台化、多样化特征。新兴领域党建既是党的基层组织建设的重要增量，也是巩固党的执政基础、提升社会治理效能的重要着力点。扩大覆盖是基础，提高质效是关键，必须推动党建工作从</w:t>
      </w:r>
      <w:r>
        <w:rPr>
          <w:rStyle w:val="12"/>
          <w:rFonts w:hint="eastAsia"/>
          <w:lang w:eastAsia="zh-CN"/>
        </w:rPr>
        <w:t>“</w:t>
      </w:r>
      <w:r>
        <w:rPr>
          <w:rStyle w:val="12"/>
        </w:rPr>
        <w:t>组织建起来</w:t>
      </w:r>
      <w:r>
        <w:rPr>
          <w:rStyle w:val="12"/>
          <w:rFonts w:hint="eastAsia"/>
          <w:lang w:eastAsia="zh-CN"/>
        </w:rPr>
        <w:t>”</w:t>
      </w:r>
      <w:r>
        <w:rPr>
          <w:rStyle w:val="12"/>
        </w:rPr>
        <w:t>进一步向</w:t>
      </w:r>
      <w:r>
        <w:rPr>
          <w:rStyle w:val="12"/>
          <w:rFonts w:hint="eastAsia"/>
          <w:lang w:eastAsia="zh-CN"/>
        </w:rPr>
        <w:t>“</w:t>
      </w:r>
      <w:r>
        <w:rPr>
          <w:rStyle w:val="12"/>
        </w:rPr>
        <w:t>功能强起来、作用发挥出来</w:t>
      </w:r>
      <w:r>
        <w:rPr>
          <w:rStyle w:val="12"/>
          <w:rFonts w:hint="eastAsia"/>
          <w:lang w:eastAsia="zh-CN"/>
        </w:rPr>
        <w:t>”</w:t>
      </w:r>
      <w:r>
        <w:rPr>
          <w:rStyle w:val="12"/>
        </w:rPr>
        <w:t>深化。</w:t>
      </w:r>
    </w:p>
    <w:p>
      <w:pPr>
        <w:pStyle w:val="6"/>
        <w:bidi w:val="0"/>
        <w:spacing w:beforeAutospacing="0" w:afterAutospacing="0"/>
        <w:rPr>
          <w:rStyle w:val="12"/>
        </w:rPr>
      </w:pPr>
      <w:r>
        <w:rPr>
          <w:rStyle w:val="12"/>
        </w:rPr>
        <w:t>坚持政治引领，把组织覆盖转化为思想凝聚。新兴领域人员流动快、工作节奏快、线上活动多，传统集中学习和固定活动方式有时难以完全适应。推进组织覆盖，不能只统计建立了多少党组织、联系了多少党员，更要看党的创新理论能否有效触达，党员教育管理是否符合群体特点。应根据互联网平台企业、科技创新型企业、社会组织、外卖骑手和快递员等不同对象，探索小型灵活、线上线下结合的组织生活方式，做好流动党员组织关系衔接和日常联系服务。把理论学习同职业发展、权益保障、社会责任结合起来，用听得懂、愿意听、能落实的方式增进政治认同，才能使组织覆盖既有形更有神。</w:t>
      </w:r>
    </w:p>
    <w:p>
      <w:pPr>
        <w:pStyle w:val="6"/>
        <w:bidi w:val="0"/>
        <w:spacing w:beforeAutospacing="0" w:afterAutospacing="0"/>
        <w:rPr>
          <w:rStyle w:val="12"/>
        </w:rPr>
      </w:pPr>
      <w:r>
        <w:rPr>
          <w:rStyle w:val="12"/>
        </w:rPr>
        <w:t>突出服务凝聚，把解决实际困难作为党建工作的重要切口。新兴领域党建面对的是具体劳动者和经营主体，思想引领不能脱离现实关切。对企业而言，可能关心政策咨询、发展环境和人才服务；对社会组织而言，可能面临规范运行、专业能力和资源链接问题；对新就业群体而言，休息就餐、劳动保护、申诉维权、职业发展都是切身需求。党组织要善于整合工会、共青团、妇联以及职能部门、街道社区等资源，推动服务阵地从</w:t>
      </w:r>
      <w:r>
        <w:rPr>
          <w:rStyle w:val="12"/>
          <w:rFonts w:hint="eastAsia"/>
          <w:lang w:eastAsia="zh-CN"/>
        </w:rPr>
        <w:t>“</w:t>
      </w:r>
      <w:r>
        <w:rPr>
          <w:rStyle w:val="12"/>
        </w:rPr>
        <w:t>建起来</w:t>
      </w:r>
      <w:r>
        <w:rPr>
          <w:rStyle w:val="12"/>
          <w:rFonts w:hint="eastAsia"/>
          <w:lang w:eastAsia="zh-CN"/>
        </w:rPr>
        <w:t>”</w:t>
      </w:r>
      <w:r>
        <w:rPr>
          <w:rStyle w:val="12"/>
        </w:rPr>
        <w:t>向</w:t>
      </w:r>
      <w:r>
        <w:rPr>
          <w:rStyle w:val="12"/>
          <w:rFonts w:hint="eastAsia"/>
          <w:lang w:eastAsia="zh-CN"/>
        </w:rPr>
        <w:t>“</w:t>
      </w:r>
      <w:r>
        <w:rPr>
          <w:rStyle w:val="12"/>
        </w:rPr>
        <w:t>用起来</w:t>
      </w:r>
      <w:r>
        <w:rPr>
          <w:rStyle w:val="12"/>
          <w:rFonts w:hint="eastAsia"/>
          <w:lang w:eastAsia="zh-CN"/>
        </w:rPr>
        <w:t>”</w:t>
      </w:r>
      <w:r>
        <w:rPr>
          <w:rStyle w:val="12"/>
        </w:rPr>
        <w:t>转变。服务不能停留在节日慰问和物资赠送，更要推动解决制度性、普遍性问题。群众在需要时找得到组织、困难时感受到组织，党的凝聚力才能在一次次具体服务中不断增强。</w:t>
      </w:r>
    </w:p>
    <w:p>
      <w:pPr>
        <w:pStyle w:val="6"/>
        <w:bidi w:val="0"/>
        <w:spacing w:beforeAutospacing="0" w:afterAutospacing="0"/>
        <w:rPr>
          <w:rStyle w:val="12"/>
        </w:rPr>
      </w:pPr>
      <w:r>
        <w:rPr>
          <w:rStyle w:val="12"/>
        </w:rPr>
        <w:t>强化融合赋能，把党的组织优势转化为发展和治理优势。党建工作与生产经营、行业治理、社会服务相互割裂，就容易出现</w:t>
      </w:r>
      <w:r>
        <w:rPr>
          <w:rStyle w:val="12"/>
          <w:rFonts w:hint="eastAsia"/>
          <w:lang w:eastAsia="zh-CN"/>
        </w:rPr>
        <w:t>“</w:t>
      </w:r>
      <w:r>
        <w:rPr>
          <w:rStyle w:val="12"/>
        </w:rPr>
        <w:t>两张皮</w:t>
      </w:r>
      <w:r>
        <w:rPr>
          <w:rStyle w:val="12"/>
          <w:rFonts w:hint="eastAsia"/>
          <w:lang w:eastAsia="zh-CN"/>
        </w:rPr>
        <w:t>”</w:t>
      </w:r>
      <w:r>
        <w:rPr>
          <w:rStyle w:val="12"/>
        </w:rPr>
        <w:t>。要围绕企业发展难题设立党员责任区、攻坚队，引导党员在技术创新、安全生产、诚信经营中担当作为；支持社会组织在党组织领导下依法有序参与公共服务和基层治理；发挥新就业群体走街串巷、熟悉社情民意的优势，在自愿、规范、保障到位的前提下，引导其参与风险发现、文明宣传和便民服务。同时，要尊重不同组织的运行规律，避免把机关党建活动简单照搬到新兴领域，防止以台账数量代替作用发挥。融合得越深入，党建对发展的引领力、对治理的支撑力就越强。</w:t>
      </w:r>
    </w:p>
    <w:p>
      <w:pPr>
        <w:pStyle w:val="6"/>
        <w:bidi w:val="0"/>
        <w:spacing w:beforeAutospacing="0" w:afterAutospacing="0"/>
        <w:rPr>
          <w:rStyle w:val="12"/>
        </w:rPr>
      </w:pPr>
      <w:r>
        <w:rPr>
          <w:rStyle w:val="12"/>
        </w:rPr>
        <w:t>完善协同机制，为有效覆盖提供稳定保障。新兴领域跨区域、跨行业、跨层级特点明显，单靠属地或单个部门往往难以覆盖到位。应健全党委统一领导、社会工作部门统筹协调、行业管理部门各负其责、属地党组织兜底管理、企业和社会组织共同参与的工作机制。对互联网平台企业等链条长、辐射广的主体，要加强总部与区域、平台与站点之间的党建联动；对小微企业、个体工商户等分散主体，可依托园区、商圈、市场等组建区域性党组织；对流动性强的新就业群体，要推动流入地、流出地和线上平台协同管理服务。还应加强党务工作者队伍、活动阵地和经费保障，建立以实际作用和群众评价为导向的考核机制。</w:t>
      </w:r>
    </w:p>
    <w:p>
      <w:pPr>
        <w:pStyle w:val="6"/>
        <w:bidi w:val="0"/>
        <w:spacing w:beforeAutospacing="0" w:afterAutospacing="0"/>
      </w:pPr>
      <w:r>
        <w:rPr>
          <w:rStyle w:val="12"/>
        </w:rPr>
        <w:t>新兴领域发展到哪里，党的组织和工作就要覆盖到哪里；社会结构变化到哪里，党建工作方式就要创新到哪里。推动有形覆盖向有效覆盖深化，根本在于始终坚持党的领导，落脚在于凝聚人心、服务群众、促进发展。把组织建在最需要的地方，把服务送到群众心坎上，把党员作用发挥在发展治理一线，新兴领域党建就能不断增强号召力、凝聚力、影响力，为新时代社会工作高质量发展筑牢组织基础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098" w:right="1474" w:bottom="1984" w:left="1588" w:header="851" w:footer="1418" w:gutter="0"/>
      <w:pgNumType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D9C5D">
    <w:pPr>
      <w:pStyle w:val="9"/>
      <w:bidi w:val="0"/>
      <w:spacing w:beforeAutospacing="0" w:afterAutospacing="0" w:line="240" w:lineRule="auto"/>
      <w:ind w:left="0" w:leftChars="0" w:right="210" w:rightChars="100" w:firstLine="0" w:firstLineChars="0"/>
      <w:jc w:val="right"/>
      <w:rPr>
        <w:rFonts w:hint="eastAsia"/>
        <w:lang w:eastAsia="zh-CN"/>
      </w:rPr>
    </w:pPr>
    <w:r>
      <w:rPr>
        <w:rFonts w:hint="eastAsia"/>
        <w:b w:val="0"/>
        <w:i w:val="0"/>
        <w:snapToGrid w:val="0"/>
        <w:sz w:val="28"/>
        <w:lang w:eastAsia="zh-CN"/>
      </w:rPr>
      <w:t xml:space="preserve">— </w:t>
    </w:r>
    <w:r>
      <w:rPr>
        <w:rFonts w:hint="eastAsia"/>
        <w:b w:val="0"/>
        <w:i w:val="0"/>
        <w:snapToGrid w:val="0"/>
        <w:sz w:val="28"/>
        <w:lang w:eastAsia="zh-CN"/>
      </w:rPr>
      <w:fldChar w:fldCharType="begin"/>
    </w:r>
    <w:r>
      <w:rPr>
        <w:rFonts w:hint="eastAsia"/>
        <w:b w:val="0"/>
        <w:i w:val="0"/>
        <w:snapToGrid w:val="0"/>
        <w:sz w:val="28"/>
        <w:lang w:eastAsia="zh-CN"/>
      </w:rPr>
      <w:instrText xml:space="preserve"> PAGE  </w:instrText>
    </w:r>
    <w:r>
      <w:rPr>
        <w:rFonts w:hint="eastAsia"/>
        <w:b w:val="0"/>
        <w:i w:val="0"/>
        <w:snapToGrid w:val="0"/>
        <w:sz w:val="28"/>
        <w:lang w:eastAsia="zh-CN"/>
      </w:rPr>
      <w:fldChar w:fldCharType="separate"/>
    </w:r>
    <w:r>
      <w:rPr>
        <w:rFonts w:hint="eastAsia"/>
        <w:b w:val="0"/>
        <w:i w:val="0"/>
        <w:snapToGrid w:val="0"/>
        <w:sz w:val="28"/>
        <w:lang w:eastAsia="zh-CN"/>
      </w:rPr>
      <w:t>1</w:t>
    </w:r>
    <w:r>
      <w:rPr>
        <w:rFonts w:hint="eastAsia"/>
        <w:b w:val="0"/>
        <w:i w:val="0"/>
        <w:snapToGrid w:val="0"/>
        <w:sz w:val="28"/>
        <w:lang w:eastAsia="zh-CN"/>
      </w:rPr>
      <w:fldChar w:fldCharType="end"/>
    </w:r>
    <w:r>
      <w:rPr>
        <w:rFonts w:hint="eastAsia"/>
        <w:b w:val="0"/>
        <w:i w:val="0"/>
        <w:snapToGrid w:val="0"/>
        <w:sz w:val="28"/>
        <w:lang w:eastAsia="zh-CN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2B41C">
    <w:pPr>
      <w:pStyle w:val="9"/>
      <w:bidi w:val="0"/>
      <w:spacing w:beforeAutospacing="0" w:afterAutospacing="0" w:line="240" w:lineRule="auto"/>
      <w:ind w:left="210" w:leftChars="100" w:right="0" w:rightChars="0" w:firstLine="0" w:firstLineChars="0"/>
      <w:jc w:val="left"/>
      <w:rPr>
        <w:rFonts w:hint="eastAsia"/>
        <w:lang w:eastAsia="zh-CN"/>
      </w:rPr>
    </w:pPr>
    <w:r>
      <w:rPr>
        <w:rFonts w:hint="eastAsia"/>
        <w:b w:val="0"/>
        <w:i w:val="0"/>
        <w:snapToGrid w:val="0"/>
        <w:sz w:val="28"/>
        <w:lang w:eastAsia="zh-CN"/>
      </w:rPr>
      <w:t xml:space="preserve">— </w:t>
    </w:r>
    <w:r>
      <w:rPr>
        <w:rFonts w:hint="eastAsia"/>
        <w:b w:val="0"/>
        <w:i w:val="0"/>
        <w:snapToGrid w:val="0"/>
        <w:sz w:val="28"/>
        <w:lang w:eastAsia="zh-CN"/>
      </w:rPr>
      <w:fldChar w:fldCharType="begin"/>
    </w:r>
    <w:r>
      <w:rPr>
        <w:rFonts w:hint="eastAsia"/>
        <w:b w:val="0"/>
        <w:i w:val="0"/>
        <w:snapToGrid w:val="0"/>
        <w:sz w:val="28"/>
        <w:lang w:eastAsia="zh-CN"/>
      </w:rPr>
      <w:instrText xml:space="preserve"> PAGE  </w:instrText>
    </w:r>
    <w:r>
      <w:rPr>
        <w:rFonts w:hint="eastAsia"/>
        <w:b w:val="0"/>
        <w:i w:val="0"/>
        <w:snapToGrid w:val="0"/>
        <w:sz w:val="28"/>
        <w:lang w:eastAsia="zh-CN"/>
      </w:rPr>
      <w:fldChar w:fldCharType="separate"/>
    </w:r>
    <w:r>
      <w:rPr>
        <w:rFonts w:hint="eastAsia"/>
        <w:b w:val="0"/>
        <w:i w:val="0"/>
        <w:snapToGrid w:val="0"/>
        <w:sz w:val="28"/>
        <w:lang w:eastAsia="zh-CN"/>
      </w:rPr>
      <w:t>2</w:t>
    </w:r>
    <w:r>
      <w:rPr>
        <w:rFonts w:hint="eastAsia"/>
        <w:b w:val="0"/>
        <w:i w:val="0"/>
        <w:snapToGrid w:val="0"/>
        <w:sz w:val="28"/>
        <w:lang w:eastAsia="zh-CN"/>
      </w:rPr>
      <w:fldChar w:fldCharType="end"/>
    </w:r>
    <w:r>
      <w:rPr>
        <w:rFonts w:hint="eastAsia"/>
        <w:b w:val="0"/>
        <w:i w:val="0"/>
        <w:snapToGrid w:val="0"/>
        <w:sz w:val="28"/>
        <w:lang w:eastAsia="zh-CN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C3588C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8B81CE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DE547D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667A43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evenAndOddHeaders w:val="1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DE0C40"/>
    <w:rsid w:val="445F72B1"/>
    <w:rsid w:val="69D0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OfficialDoc.Body"/>
    <w:basedOn w:val="1"/>
    <w:uiPriority w:val="98"/>
    <w:pPr>
      <w:snapToGrid w:val="0"/>
      <w:spacing w:line="560" w:lineRule="exact"/>
      <w:ind w:firstLine="420" w:firstLineChars="200"/>
    </w:pPr>
    <w:rPr>
      <w:rFonts w:ascii="Times New Roman" w:eastAsia="仿宋_GB2312"/>
      <w:snapToGrid w:val="0"/>
      <w:sz w:val="32"/>
    </w:rPr>
  </w:style>
  <w:style w:type="paragraph" w:customStyle="1" w:styleId="7">
    <w:name w:val="OfficialDoc.MainTitle"/>
    <w:basedOn w:val="1"/>
    <w:uiPriority w:val="98"/>
    <w:pPr>
      <w:snapToGrid w:val="0"/>
      <w:spacing w:after="560" w:line="640" w:lineRule="exact"/>
      <w:jc w:val="center"/>
      <w:outlineLvl w:val="0"/>
    </w:pPr>
    <w:rPr>
      <w:rFonts w:ascii="方正小标宋简体" w:eastAsia="方正小标宋简体"/>
      <w:snapToGrid w:val="0"/>
      <w:sz w:val="44"/>
    </w:rPr>
  </w:style>
  <w:style w:type="paragraph" w:customStyle="1" w:styleId="8">
    <w:name w:val="OfficialDoc.Salutation"/>
    <w:basedOn w:val="1"/>
    <w:uiPriority w:val="98"/>
    <w:pPr>
      <w:snapToGrid w:val="0"/>
      <w:spacing w:line="560" w:lineRule="exact"/>
    </w:pPr>
    <w:rPr>
      <w:rFonts w:ascii="Times New Roman" w:eastAsia="仿宋_GB2312"/>
      <w:snapToGrid w:val="0"/>
      <w:sz w:val="32"/>
    </w:rPr>
  </w:style>
  <w:style w:type="paragraph" w:customStyle="1" w:styleId="9">
    <w:name w:val="OfficialDoc.PageNumber"/>
    <w:basedOn w:val="1"/>
    <w:uiPriority w:val="98"/>
    <w:pPr>
      <w:snapToGrid w:val="0"/>
      <w:spacing w:line="560" w:lineRule="exact"/>
      <w:jc w:val="center"/>
    </w:pPr>
    <w:rPr>
      <w:rFonts w:ascii="宋体" w:eastAsia="仿宋_GB2312"/>
      <w:snapToGrid w:val="0"/>
      <w:sz w:val="28"/>
    </w:rPr>
  </w:style>
  <w:style w:type="character" w:customStyle="1" w:styleId="10">
    <w:name w:val="OfficialDoc.Text.MainTitle"/>
    <w:basedOn w:val="5"/>
    <w:uiPriority w:val="98"/>
    <w:rPr>
      <w:rFonts w:ascii="方正小标宋简体" w:eastAsia="方正小标宋简体"/>
      <w:sz w:val="44"/>
    </w:rPr>
  </w:style>
  <w:style w:type="character" w:customStyle="1" w:styleId="11">
    <w:name w:val="OfficialDoc.Text.Salutation"/>
    <w:basedOn w:val="5"/>
    <w:uiPriority w:val="98"/>
    <w:rPr>
      <w:rFonts w:ascii="Times New Roman" w:eastAsia="仿宋_GB2312"/>
      <w:sz w:val="32"/>
    </w:rPr>
  </w:style>
  <w:style w:type="character" w:customStyle="1" w:styleId="12">
    <w:name w:val="OfficialDoc.Text.Body"/>
    <w:basedOn w:val="5"/>
    <w:uiPriority w:val="98"/>
    <w:rPr>
      <w:rFonts w:ascii="Times New Roman" w:eastAsia="仿宋_GB2312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2026-04-03T10:59:00Z</dcterms:created>
  <dc:creator>Administrator</dc:creator>
  <cp:lastModifiedBy>partyopsuser</cp:lastModifiedBy>
  <dcterms:modified xsi:type="dcterms:W3CDTF">2026-10-18T04:22:01Z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DF31D09842BE41A5A3853058539072BC_12</vt:lpwstr>
  </property>
  <property fmtid="{D5CDD505-2E9C-101B-9397-08002B2CF9AE}" pid="4" name="KSOTemplateDocerSaveRecord">
    <vt:lpwstr>eyJoZGlkIjoiZjMyY2E0NDU3NTM2NGYwMTlhMTdjMjA0YzM5MWFmMWQiLCJ1c2VySWQiOiIxNTY4OTA0NjYxIn0=</vt:lpwstr>
  </property>
</Properties>
</file>