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Material:</w:t>
      </w:r>
      <w:r>
        <w:t xml:space="preserve"> </w:t>
      </w:r>
      <w:r>
        <w:t xml:space="preserve">Proofs</w:t>
      </w:r>
    </w:p>
    <w:bookmarkStart w:id="20" w:name="s-lmi-covariance"/>
    <w:p>
      <w:pPr>
        <w:pStyle w:val="Heading3"/>
      </w:pPr>
      <w:r>
        <w:t xml:space="preserve">S-LMI Covariance</w:t>
      </w:r>
    </w:p>
    <w:p>
      <w:pPr>
        <w:pStyle w:val="FirstParagraph"/>
      </w:pPr>
      <w:r>
        <w:t xml:space="preserve">s-LMI with 1 common factor decomposes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into following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t>Λ</m:t>
          </m:r>
          <m:sSup>
            <m:e>
              <m:r>
                <m:t>Λ</m:t>
              </m:r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 by definition of s-LMI</w:t>
      </w:r>
      <w:r>
        <w:t xml:space="preserve"> </w:t>
      </w:r>
      <m:oMath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diagonal and and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a</w:t>
      </w:r>
      <w:r>
        <w:t xml:space="preserve"> </w:t>
      </w:r>
      <m:oMath>
        <m:r>
          <m:t>K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column</w:t>
      </w:r>
      <w:r>
        <w:t xml:space="preserve"> </w:t>
      </w:r>
      <w:r>
        <w:t xml:space="preserve">vector of factor loadings constant over time. We also need the</w:t>
      </w:r>
      <w:r>
        <w:t xml:space="preserve"> </w:t>
      </w:r>
      <w:r>
        <w:t xml:space="preserve">covariance of the common factor at both time points. Let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be the</w:t>
      </w:r>
      <w:r>
        <w:t xml:space="preserve"> </w:t>
      </w:r>
      <w:r>
        <w:t xml:space="preserve">latent regression coefficient which links the common factor to itself at</w:t>
      </w:r>
      <w:r>
        <w:t xml:space="preserve"> </w:t>
      </w:r>
      <w:r>
        <w:t xml:space="preserve">a previous time point such that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δ</m:t>
        </m:r>
        <m:sSub>
          <m:e>
            <m:r>
              <m:t>η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ψ</m:t>
            </m:r>
          </m:e>
          <m:sub>
            <m:r>
              <m:t>t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ψ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independent random term (</w:t>
      </w:r>
      <w:r>
        <w:t xml:space="preserve">‘</w:t>
      </w:r>
      <w:r>
        <w:t xml:space="preserve">innovation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error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disturbance</w:t>
      </w:r>
      <w:r>
        <w:t xml:space="preserve">’</w:t>
      </w:r>
      <w:r>
        <w:t xml:space="preserve">) with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 Assuming standardized common factor</w:t>
      </w:r>
      <w:r>
        <w:t xml:space="preserve"> </w:t>
      </w:r>
      <w:r>
        <w:t xml:space="preserve">such that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η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 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η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covariance of the common</w:t>
      </w:r>
      <w:r>
        <w:t xml:space="preserve"> </w:t>
      </w:r>
      <w:r>
        <w:t xml:space="preserve">factor at two subsequent time points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Cov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sSub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δ</m:t>
                    </m:r>
                    <m:sSubSup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</m:mr>
            <m:mr>
              <m:e>
                <m:r>
                  <m:t>δ</m:t>
                </m:r>
                <m:r>
                  <m:t>V</m:t>
                </m:r>
                <m:r>
                  <m:t>a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δ</m:t>
                </m:r>
              </m:e>
            </m:mr>
          </m:m>
        </m:oMath>
      </m:oMathPara>
    </w:p>
    <w:p>
      <w:pPr>
        <w:pStyle w:val="FirstParagraph"/>
      </w:pPr>
      <w:r>
        <w:t xml:space="preserve">Now lets look at the</w:t>
      </w:r>
      <w:r>
        <w:t xml:space="preserve"> </w:t>
      </w:r>
      <m:oMath>
        <m:r>
          <m:t>2</m:t>
        </m:r>
        <m:r>
          <m:t>K</m:t>
        </m:r>
        <m:r>
          <m:rPr>
            <m:sty m:val="p"/>
          </m:rPr>
          <m:t>×</m:t>
        </m:r>
        <m:r>
          <m:t>2</m:t>
        </m:r>
        <m:r>
          <m:t>K</m:t>
        </m:r>
      </m:oMath>
      <w:r>
        <w:t xml:space="preserve"> </w:t>
      </w:r>
      <w:r>
        <w:t xml:space="preserve">covariance matrix from the</w:t>
      </w:r>
      <w:r>
        <w:t xml:space="preserve"> </w:t>
      </w:r>
      <w:r>
        <w:t xml:space="preserve">perspective of strict LMI. A s-LMI model imposes that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Cov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Λ</m:t>
                    </m:r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δ</m:t>
                    </m:r>
                  </m:e>
                </m:mr>
                <m:mr>
                  <m:e>
                    <m:r>
                      <m:t>δ</m:t>
                    </m:r>
                  </m:e>
                  <m:e>
                    <m:r>
                      <m:t>δ</m:t>
                    </m:r>
                    <m:r>
                      <m:rPr>
                        <m:sty m:val="p"/>
                      </m:rPr>
                      <m:t>+</m:t>
                    </m:r>
                    <m:r>
                      <m:t>V</m:t>
                    </m:r>
                    <m:r>
                      <m:t>a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ψ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c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</m:sSub>
                  </m:e>
                </m:mr>
                <m:mr>
                  <m:e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a</m:t>
                        </m:r>
                        <m:r>
                          <m:t>c</m:t>
                        </m:r>
                        <m:r>
                          <m:t>r</m:t>
                        </m:r>
                        <m:r>
                          <m:t>o</m:t>
                        </m:r>
                        <m:r>
                          <m:t>s</m:t>
                        </m:r>
                        <m:r>
                          <m:t>s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</m:e>
                  <m:e>
                    <m:sSub>
                      <m:e>
                        <m:r>
                          <m:t>Ω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Λ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a block matrix that sandwiches the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 </w:t>
      </w:r>
      <w:r>
        <w:t xml:space="preserve">covariance matrix of</w:t>
      </w:r>
      <w:r>
        <w:t xml:space="preserve"> </w:t>
      </w:r>
      <w:r>
        <w:t xml:space="preserve">the common factor at both time points.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Λ</m:t>
                          </m:r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δ</m:t>
                          </m:r>
                        </m:e>
                      </m:mr>
                      <m:mr>
                        <m:e>
                          <m:r>
                            <m:t>δ</m:t>
                          </m:r>
                        </m:e>
                        <m:e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ψ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Λ</m:t>
                          </m:r>
                        </m:e>
                      </m:mr>
                    </m:m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  <m:e>
                          <m:r>
                            <m:t>δ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ψ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e>
                          </m:d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t>δ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a</m:t>
                              </m:r>
                              <m:r>
                                <m:t>c</m:t>
                              </m:r>
                              <m:r>
                                <m:t>r</m:t>
                              </m:r>
                              <m:r>
                                <m:t>o</m:t>
                              </m:r>
                              <m:r>
                                <m:t>s</m:t>
                              </m:r>
                              <m:r>
                                <m:t>s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  <m:e>
                          <m:r>
                            <m:t>Λ</m:t>
                          </m:r>
                          <m:sSup>
                            <m:e>
                              <m:r>
                                <m:t>Λ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δ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V</m:t>
                              </m:r>
                              <m:r>
                                <m:t>a</m:t>
                              </m:r>
                              <m:r>
                                <m:t>r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ψ</m:t>
                                      </m:r>
                                    </m:e>
                                    <m:sub>
                                      <m: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Ω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From the above we see that the strict LMI can only be compatible with</w:t>
      </w:r>
      <w:r>
        <w:t xml:space="preserve"> </w:t>
      </w:r>
      <w:r>
        <w:t xml:space="preserve">any process with stationary covariance, if</w:t>
      </w:r>
      <w:r>
        <w:t xml:space="preserve"> </w:t>
      </w:r>
      <m:oMath>
        <m:r>
          <m:t>δ</m:t>
        </m:r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r>
          <m:t>δ</m:t>
        </m:r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(assuming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non-zero). (When fitting a s-LMI model this is allowed.) We</w:t>
      </w:r>
      <w:r>
        <w:t xml:space="preserve"> </w:t>
      </w:r>
      <w:r>
        <w:t xml:space="preserve">also see that s-LMI is compatible with non-stationary processes where</w:t>
      </w:r>
      <w:r>
        <w:t xml:space="preserve"> </w:t>
      </w:r>
      <w:r>
        <w:t xml:space="preserve">the covariance is proportional to</w:t>
      </w:r>
      <w:r>
        <w:t xml:space="preserve"> </w:t>
      </w:r>
      <m:oMath>
        <m:r>
          <m:t>δ</m:t>
        </m:r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ψ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aligning with</w:t>
      </w:r>
      <w:r>
        <w:t xml:space="preserve"> </w:t>
      </w:r>
      <w:r>
        <w:t xml:space="preserve">previous theoretical analysis where covariance increased over time in a</w:t>
      </w:r>
      <w:r>
        <w:t xml:space="preserve"> </w:t>
      </w:r>
      <w:r>
        <w:t xml:space="preserve">LMI preserving model.</w:t>
      </w:r>
    </w:p>
    <w:p>
      <w:pPr>
        <w:pStyle w:val="BodyText"/>
      </w:pPr>
      <w:r>
        <w:t xml:space="preserve">A brief note on notation: We’ll be using simply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for the s-LMI</w:t>
      </w:r>
      <w:r>
        <w:t xml:space="preserve"> </w:t>
      </w:r>
      <w:r>
        <w:t xml:space="preserve">residual covariance, since residual covariance is assumed invariant over</w:t>
      </w:r>
      <w:r>
        <w:t xml:space="preserve"> </w:t>
      </w:r>
      <w:r>
        <w:t xml:space="preserve">time</w:t>
      </w:r>
      <w:r>
        <w:t xml:space="preserve"> </w:t>
      </w:r>
      <m:oMath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r>
          <m:t>Ω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Using the above auxiliary results we can move to analyse the null</w:t>
      </w:r>
      <w:r>
        <w:t xml:space="preserve"> </w:t>
      </w:r>
      <w:r>
        <w:t xml:space="preserve">hypothesis (hypotheses) of no difference between VAR(1) and s-LMI.</w:t>
      </w:r>
    </w:p>
    <w:bookmarkEnd w:id="20"/>
    <w:bookmarkStart w:id="21" w:name="X851d776e0c89947289329efaa602be53b9eaf6d"/>
    <w:p>
      <w:pPr>
        <w:pStyle w:val="Heading3"/>
      </w:pPr>
      <w:r>
        <w:t xml:space="preserve">Proof for</w:t>
      </w:r>
      <w:r>
        <w:t xml:space="preserve"> </w:t>
      </w:r>
      <m:oMath>
        <m:r>
          <m:t>c</m:t>
        </m:r>
        <m:sSub>
          <m:e>
            <m:r>
              <m:t>J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 </w:t>
      </w:r>
      <w:r>
        <w:t xml:space="preserve">spanning (matrix) vector space</w:t>
      </w:r>
    </w:p>
    <w:p>
      <w:pPr>
        <w:numPr>
          <w:ilvl w:val="0"/>
          <w:numId w:val="1001"/>
        </w:numPr>
        <w:pStyle w:val="Compact"/>
      </w:pPr>
      <w:r>
        <w:t xml:space="preserve">Refinements are necessary, but central ideas should be visible.</w:t>
      </w:r>
    </w:p>
    <w:p>
      <w:pPr>
        <w:numPr>
          <w:ilvl w:val="0"/>
          <w:numId w:val="1001"/>
        </w:numPr>
        <w:pStyle w:val="Compact"/>
      </w:pPr>
      <w:r>
        <w:t xml:space="preserve">Some proofs might be good to show here and use this as a supplement.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Let</w:t>
      </w:r>
      <w:r>
        <w:t xml:space="preserve"> </w:t>
      </w:r>
      <m:oMath>
        <m:sSub>
          <m:e>
            <m:r>
              <m:t>J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dimensional matrix of ones, the subindex of which will be omitted in the following. Let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dimensional identity matrix, similarly omitting the subindex in the following. We will first show that the space which these two matrices span contains a set of drift matrices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that produce covariance matrices perfectly also explained by S-LMI model.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t>J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Let</w:t>
      </w:r>
      <w:r>
        <w:t xml:space="preserve"> </w:t>
      </w:r>
      <m:oMath>
        <m:r>
          <m:t>Σ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k</m:t>
            </m:r>
          </m:sup>
        </m:sSup>
      </m:oMath>
      <w:r>
        <w:t xml:space="preserve"> </w:t>
      </w:r>
      <w:r>
        <w:t xml:space="preserve">be the positive semidefinite hermitian covariance matrix of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observed at different time points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We will omit any special cases that might occur at small</w:t>
      </w:r>
      <w:r>
        <w:t xml:space="preserve"> </w:t>
      </w:r>
      <m:oMath>
        <m:r>
          <m:t>k</m:t>
        </m:r>
        <m:r>
          <m:rPr>
            <m:sty m:val="p"/>
          </m:rPr>
          <m:t>≤</m:t>
        </m:r>
        <m:r>
          <m:t>3</m:t>
        </m:r>
      </m:oMath>
      <w:r>
        <w:t xml:space="preserve"> </w:t>
      </w:r>
      <w:r>
        <w:t xml:space="preserve">due to the factor model being just identifiable at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 The cross-covariance is</w:t>
      </w:r>
      <w:r>
        <w:t xml:space="preserve"> </w:t>
      </w:r>
      <m:oMath>
        <m:r>
          <m:t>A</m:t>
        </m:r>
        <m:r>
          <m:t>Σ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J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r>
          <m:t>Σ</m:t>
        </m:r>
        <m:r>
          <m:rPr>
            <m:sty m:val="p"/>
          </m:rPr>
          <m:t>=</m:t>
        </m:r>
        <m:r>
          <m:t>c</m:t>
        </m:r>
        <m:r>
          <m:t>J</m:t>
        </m:r>
        <m:r>
          <m:t>Σ</m:t>
        </m:r>
        <m:r>
          <m:rPr>
            <m:sty m:val="p"/>
          </m:rPr>
          <m:t>+</m:t>
        </m:r>
        <m:r>
          <m:t>d</m:t>
        </m:r>
        <m:r>
          <m:t>Σ</m:t>
        </m:r>
      </m:oMath>
      <w:r>
        <w:t xml:space="preserve">. Note that</w:t>
      </w:r>
      <w:r>
        <w:t xml:space="preserve"> </w:t>
      </w:r>
      <m:oMath>
        <m:r>
          <m:t>J</m:t>
        </m:r>
        <m:r>
          <m:t>Σ</m:t>
        </m:r>
      </m:oMath>
      <w:r>
        <w:t xml:space="preserve"> </w:t>
      </w:r>
      <w:r>
        <w:t xml:space="preserve">is effectively summing over the covariances for each variable producing then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different values, one for each column of</w:t>
      </w:r>
      <w:r>
        <w:t xml:space="preserve"> </w:t>
      </w:r>
      <m:oMath>
        <m:r>
          <m:t>Σ</m:t>
        </m:r>
      </m:oMath>
      <w:r>
        <w:t xml:space="preserve">, such that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J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e>
                    </m:nary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c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k</m:t>
                        </m:r>
                      </m:sup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b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Clearly</w:t>
      </w:r>
      <w:r>
        <w:t xml:space="preserve"> </w:t>
      </w:r>
      <m:oMath>
        <m:r>
          <m:t>d</m:t>
        </m:r>
        <m:r>
          <m:t>Σ</m:t>
        </m:r>
      </m:oMath>
      <w:r>
        <w:t xml:space="preserve"> </w:t>
      </w:r>
      <w:r>
        <w:t xml:space="preserve">is a scalar multiple of the covariance.</w:t>
      </w:r>
    </w:p>
    <w:p>
      <w:pPr>
        <w:pStyle w:val="BodyText"/>
      </w:pPr>
      <w:r>
        <w:t xml:space="preserve">Define innovations contained in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1</m:t>
            </m:r>
          </m:sup>
        </m:sSup>
      </m:oMath>
      <w:r>
        <w:t xml:space="preserve"> </w:t>
      </w:r>
      <w:r>
        <w:t xml:space="preserve">to have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Γ</m:t>
            </m:r>
            <m:sSup>
              <m:e>
                <m:r>
                  <m:t>Γ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 that the covariance of the innovations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is diagonal. We also need that the innovation variances are the same</w:t>
      </w:r>
      <w:r>
        <w:t xml:space="preserve"> </w:t>
      </w:r>
      <m:oMath>
        <m:sSub>
          <m:e>
            <m:r>
              <m:t>ψ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ψ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ψ</m:t>
            </m:r>
          </m:e>
          <m:sub>
            <m:r>
              <m:t>k</m:t>
            </m:r>
          </m:sub>
        </m:sSub>
      </m:oMath>
      <w:r>
        <w:t xml:space="preserve">. Since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completely now defines covariance of</w:t>
      </w:r>
      <w:r>
        <w:t xml:space="preserve"> </w:t>
      </w:r>
      <m:oMath>
        <m:r>
          <m:t>X</m:t>
        </m:r>
      </m:oMath>
      <w:r>
        <w:t xml:space="preserve">, we have that all variables must have identical covariance</w:t>
      </w:r>
      <w:r>
        <w:t xml:space="preserve"> </w:t>
      </w:r>
      <m:oMath>
        <m:sSub>
          <m:e>
            <m:r>
              <m:t>σ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23</m:t>
            </m:r>
          </m:sub>
        </m:sSub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. This is because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defines identical cross-lagged autoregression coefficients for all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X</m:t>
        </m:r>
      </m:oMath>
      <w:r>
        <w:t xml:space="preserve">. Note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also has identical autoregression coefficients and hence the variances are also identical for all</w:t>
      </w:r>
      <w:r>
        <w:t xml:space="preserve"> </w:t>
      </w:r>
      <m:oMath>
        <m:r>
          <m:t>x</m:t>
        </m:r>
      </m:oMath>
      <w:r>
        <w:t xml:space="preserve">. This means that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J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a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a</m:t>
                    </m:r>
                  </m:e>
                </m:mr>
              </m:m>
            </m:e>
          </m:d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d</m:t>
        </m:r>
        <m:r>
          <m:t>Σ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hence also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Σ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t>Σ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Also see that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k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sSup>
            <m:e>
              <m:r>
                <m:t>d</m:t>
              </m:r>
            </m:e>
            <m:sup>
              <m:r>
                <m:t>2</m:t>
              </m:r>
            </m:sup>
          </m:sSup>
          <m:r>
            <m:t>I</m:t>
          </m:r>
          <m:r>
            <m:rPr>
              <m:sty m:val="p"/>
            </m:rPr>
            <m:t>=</m:t>
          </m:r>
          <m:r>
            <m:t>J</m:t>
          </m:r>
          <m:limLow>
            <m:e>
              <m:limLow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c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k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d</m:t>
                      </m:r>
                      <m:r>
                        <m:t>c</m:t>
                      </m:r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lim>
          </m:limLow>
          <m:r>
            <m:rPr>
              <m:sty m:val="p"/>
            </m:rPr>
            <m:t>+</m:t>
          </m:r>
          <m:limLow>
            <m:e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e>
            <m:lim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lim>
          </m:limLow>
          <m:r>
            <m:t>I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where we can see that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</m:oMath>
      <w:r>
        <w:t xml:space="preserve"> </w:t>
      </w:r>
      <w:r>
        <w:t xml:space="preserve">have coordinates in the space</w:t>
      </w:r>
      <w:r>
        <w:t xml:space="preserve"> </w:t>
      </w:r>
      <m:oMath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, derivable from the equation above. Using induction this can be proven for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×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×</m:t>
        </m:r>
        <m:r>
          <m:t>A</m:t>
        </m:r>
        <m:r>
          <m:t>Σ</m:t>
        </m:r>
        <m:r>
          <m:rPr>
            <m:sty m:val="p"/>
          </m:rPr>
          <m:t>∈</m:t>
        </m:r>
        <m:r>
          <m:t>s</m:t>
        </m:r>
        <m:r>
          <m:t>p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 </w:t>
      </w:r>
      <w:r>
        <w:t xml:space="preserve">which means that all cross covariances for any change in time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are also in this space.</w:t>
      </w:r>
    </w:p>
    <w:p>
      <w:pPr>
        <w:pStyle w:val="BodyText"/>
      </w:pPr>
      <w:r>
        <w:t xml:space="preserve">Now, since we have that all covariances are the same, then for the S-LMI model with</w:t>
      </w:r>
      <w:r>
        <w:t xml:space="preserve"> </w:t>
      </w:r>
      <m:oMath>
        <m:r>
          <m:rPr>
            <m:nor/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r>
              <m:t>η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η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all factor loadings must be the same so that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λ</m:t>
        </m:r>
        <m:r>
          <m:rPr>
            <m:sty m:val="p"/>
          </m:rPr>
          <m:t>:</m:t>
        </m:r>
        <m:r>
          <m:rPr>
            <m:nor/>
            <m:sty m:val="p"/>
          </m:rPr>
          <m:t>Cov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λ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. The residual cross covariances must also be the same, at some</w:t>
      </w:r>
      <w:r>
        <w:t xml:space="preserve"> </w:t>
      </w:r>
      <m:oMath>
        <m:r>
          <m:t>Δ</m:t>
        </m:r>
      </m:oMath>
      <w:r>
        <w:t xml:space="preserve">, as seen above. (By this point the practical constraint is evident, but will be discussed later, elsewhere. - Sakari) Now we have that the S-LMI imposed cross covariance is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sSup>
            <m:e>
              <m:r>
                <m:t>Λ</m:t>
              </m:r>
            </m:e>
            <m:sup>
              <m:r>
                <m:t>T</m:t>
              </m:r>
            </m:sup>
          </m:sSup>
          <m:sSub>
            <m:e>
              <m:r>
                <m:t>δ</m:t>
              </m:r>
            </m:e>
            <m:sub>
              <m:r>
                <m:t>Δ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Ω</m:t>
              </m:r>
            </m:e>
            <m:sub>
              <m:r>
                <m:t>Δ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J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  <m:r>
            <m:rPr>
              <m:sty m:val="p"/>
            </m:rPr>
            <m:t>∈</m:t>
          </m:r>
          <m:r>
            <m:t>s</m:t>
          </m:r>
          <m:r>
            <m:t>p</m:t>
          </m:r>
          <m:r>
            <m:t>a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the regression coefficient for subsequent</w:t>
      </w:r>
      <w:r>
        <w:t xml:space="preserve"> </w:t>
      </w:r>
      <m:oMath>
        <m:sSub>
          <m:e>
            <m:r>
              <m:t>η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the respective product is for multiple subsequent regressions.</w:t>
      </w:r>
      <w:r>
        <w:t xml:space="preserve"> </w:t>
      </w:r>
      <m:oMath>
        <m:sSub>
          <m:e>
            <m:r>
              <m:t>δ</m:t>
            </m:r>
          </m:e>
          <m:sub>
            <m:r>
              <m:t>Δ</m:t>
            </m:r>
          </m:sub>
        </m:sSub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t</m:t>
            </m:r>
          </m:sub>
          <m:sup>
            <m:r>
              <m:t>T</m:t>
            </m:r>
          </m:sup>
          <m:e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product of regression coefficients of the latent variable to itsefl at previous timepoints.</w:t>
      </w:r>
      <w:r>
        <w:t xml:space="preserve"> </w:t>
      </w:r>
      <m:oMath>
        <m:sSub>
          <m:e>
            <m:r>
              <m:t>Ω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is a diagonal matix of residual covariances, all of which are the same.</w:t>
      </w:r>
    </w:p>
    <w:p>
      <w:pPr>
        <w:pStyle w:val="BodyText"/>
      </w:pPr>
      <w:r>
        <w:t xml:space="preserve">Another, more general, criterion for indistinguishability that the subspace of positive semi-definite symmetric matrices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Σ</m:t>
            </m:r>
            <m:r>
              <m:rPr>
                <m:sty m:val="p"/>
              </m:rPr>
              <m:t>=</m:t>
            </m:r>
            <m:r>
              <m:t>Λ</m:t>
            </m:r>
            <m:sSup>
              <m:e>
                <m:r>
                  <m:t>Λ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+</m:t>
            </m:r>
            <m:r>
              <m:t>Ω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  <m:r>
              <m:rPr>
                <m:sty m:val="p"/>
              </m:rPr>
              <m:t>×</m:t>
            </m:r>
            <m:r>
              <m:t>K</m:t>
            </m:r>
          </m:sup>
        </m:sSup>
      </m:oMath>
      <w:r>
        <w:t xml:space="preserve"> </w:t>
      </w:r>
      <w:r>
        <w:t xml:space="preserve">must be invariant under</w:t>
      </w:r>
      <w:r>
        <w:t xml:space="preserve"> </w:t>
      </w:r>
      <m:oMath>
        <m:r>
          <m:t>A</m:t>
        </m:r>
      </m:oMath>
      <w:r>
        <w:t xml:space="preserve">. This is because</w:t>
      </w:r>
      <w:r>
        <w:t xml:space="preserve"> </w:t>
      </w:r>
      <m:oMath>
        <m:r>
          <m:t>Λ</m:t>
        </m:r>
        <m:sSup>
          <m:e>
            <m:r>
              <m:t>Λ</m:t>
            </m:r>
          </m:e>
          <m:sup>
            <m:r>
              <m:t>T</m:t>
            </m:r>
          </m:sup>
        </m:sSup>
        <m:r>
          <m:t>δ</m:t>
        </m:r>
        <m:r>
          <m:rPr>
            <m:sty m:val="p"/>
          </m:rPr>
          <m:t>+</m:t>
        </m:r>
        <m:sSub>
          <m:e>
            <m:r>
              <m:t>Ω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is always positive semi-definite symmetric.</w:t>
      </w:r>
    </w:p>
    <w:p>
      <w:pPr>
        <w:numPr>
          <w:ilvl w:val="0"/>
          <w:numId w:val="1002"/>
        </w:numPr>
      </w:pPr>
      <w:r>
        <w:t xml:space="preserve">Correlation cannot separate VAR from S-LMI as well as covariance. This is because the innovations will have identity correlation, which is required for indistinguishability. Using covariance, innovations might be estimated as non-equivalent.</w:t>
      </w:r>
    </w:p>
    <w:bookmarkEnd w:id="21"/>
    <w:bookmarkStart w:id="22" w:name="no-measurement-error-scenario"/>
    <w:p>
      <w:pPr>
        <w:pStyle w:val="Heading3"/>
      </w:pPr>
      <w:r>
        <w:t xml:space="preserve">No measurement error scenario</w:t>
      </w:r>
    </w:p>
    <w:p>
      <w:pPr>
        <w:pStyle w:val="FirstParagraph"/>
      </w:pPr>
      <w:r>
        <w:t xml:space="preserve">If we look at a theoretical scenario where we observe psychopathology without measurement error, and</w:t>
      </w:r>
      <w:r>
        <w:t xml:space="preserve"> </w:t>
      </w:r>
      <w:r>
        <w:t xml:space="preserve">assume that there is no unique variance (</w:t>
      </w:r>
      <m:oMath>
        <m:r>
          <m:t>Ω</m:t>
        </m:r>
        <m:r>
          <m:rPr>
            <m:sty m:val="p"/>
          </m:rPr>
          <m:t>=</m:t>
        </m:r>
        <m:r>
          <m:t>0</m:t>
        </m:r>
      </m:oMath>
      <w:r>
        <w:t xml:space="preserve">),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/>
              <m:e>
                <m:sSup>
                  <m:e>
                    <m:r>
                      <m:t>A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r>
                          <m:t>t</m:t>
                        </m:r>
                      </m:e>
                    </m:d>
                  </m:sup>
                </m:sSup>
                <m:r>
                  <m:t>Σ</m:t>
                </m:r>
                <m:r>
                  <m:rPr>
                    <m:sty m:val="p"/>
                  </m:rPr>
                  <m:t>=</m:t>
                </m:r>
                <m:r>
                  <m:t>Λ</m:t>
                </m:r>
                <m:sSup>
                  <m:e>
                    <m:r>
                      <m:t>Λ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δ</m:t>
                    </m:r>
                  </m:e>
                  <m:sup>
                    <m:r>
                      <m:t>Δ</m:t>
                    </m:r>
                    <m:r>
                      <m:t>t</m:t>
                    </m:r>
                  </m:sup>
                </m:sSup>
                <m:r>
                  <m:rPr>
                    <m:sty m:val="p"/>
                  </m:rPr>
                  <m:t>+</m:t>
                </m:r>
                <m:limLow>
                  <m:e>
                    <m:limLow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Δ</m:t>
                            </m:r>
                            <m:r>
                              <m:t>t</m:t>
                            </m:r>
                          </m:sub>
                        </m:sSub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lim>
                </m:limLow>
              </m:e>
              <m:e/>
            </m:mr>
            <m:mr>
              <m:e>
                <m:r>
                  <m:rPr>
                    <m:sty m:val="p"/>
                  </m:rPr>
                  <m:t>⇒</m:t>
                </m:r>
              </m:e>
              <m:e>
                <m:sSup>
                  <m:e>
                    <m:r>
                      <m:t>A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r>
                          <m:t>t</m:t>
                        </m:r>
                      </m:e>
                    </m:d>
                  </m:sup>
                </m:sSup>
                <m:r>
                  <m:t>Σ</m:t>
                </m:r>
                <m:r>
                  <m:rPr>
                    <m:sty m:val="p"/>
                  </m:rPr>
                  <m:t>=</m:t>
                </m:r>
                <m:limLow>
                  <m:e>
                    <m:limLow>
                      <m:e>
                        <m:r>
                          <m:t>Λ</m:t>
                        </m:r>
                        <m:sSup>
                          <m:e>
                            <m:r>
                              <m:t>Λ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</m:e>
                      <m:lim>
                        <m:r>
                          <m:rPr>
                            <m:sty m:val="p"/>
                          </m:rPr>
                          <m:t>⏟</m:t>
                        </m:r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By assumption: </m:t>
                    </m:r>
                    <m:r>
                      <m:t>Σ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Σ</m:t>
                    </m:r>
                  </m:lim>
                </m:limLow>
                <m:sSup>
                  <m:e>
                    <m:r>
                      <m:t>δ</m:t>
                    </m:r>
                  </m:e>
                  <m:sup>
                    <m:r>
                      <m:t>Δ</m:t>
                    </m:r>
                    <m:r>
                      <m:t>t</m:t>
                    </m:r>
                  </m:sup>
                </m:sSup>
              </m:e>
              <m:e/>
            </m:mr>
            <m:mr>
              <m:e>
                <m:r>
                  <m:rPr>
                    <m:sty m:val="p"/>
                  </m:rPr>
                  <m:t>⇒</m:t>
                </m:r>
              </m:e>
              <m:e>
                <m:sSup>
                  <m:e>
                    <m:r>
                      <m:t>A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Δ</m:t>
                        </m:r>
                        <m:r>
                          <m:t>t</m:t>
                        </m:r>
                      </m:e>
                    </m:d>
                  </m:sup>
                </m:sSup>
                <m:r>
                  <m:t>Σ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δ</m:t>
                    </m:r>
                  </m:e>
                  <m:sup>
                    <m:r>
                      <m:t>Δ</m:t>
                    </m:r>
                    <m:r>
                      <m:t>t</m:t>
                    </m:r>
                  </m:sup>
                </m:sSup>
                <m:r>
                  <m:t>Σ</m:t>
                </m:r>
              </m:e>
              <m:e/>
            </m:mr>
          </m:m>
        </m:oMath>
      </m:oMathPara>
    </w:p>
    <w:p>
      <w:pPr>
        <w:pStyle w:val="FirstParagraph"/>
      </w:pPr>
      <w:r>
        <w:t xml:space="preserve">We see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hence be scalar multiple of the identity matrix</w:t>
      </w:r>
      <w:r>
        <w:t xml:space="preserve"> </w:t>
      </w:r>
      <w:r>
        <w:t xml:space="preserve">(or a scalar). Since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Λ</m:t>
        </m:r>
        <m:sSup>
          <m:e>
            <m:r>
              <m:t>Λ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this means, that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must be an eigenvector of</w:t>
      </w:r>
      <w:r>
        <w:t xml:space="preserve"> </w:t>
      </w:r>
      <m:oMath>
        <m:r>
          <m:t>A</m:t>
        </m:r>
      </m:oMath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Material: Proofs</dc:title>
  <dc:creator/>
  <cp:keywords/>
  <dcterms:created xsi:type="dcterms:W3CDTF">2024-05-27T10:24:39Z</dcterms:created>
  <dcterms:modified xsi:type="dcterms:W3CDTF">2024-05-27T10:24:39Z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type">
    <vt:lpwstr>document</vt:lpwstr>
  </property>
</Properties>
</file>