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A2E0F" w14:textId="77777777" w:rsidR="00447AA9" w:rsidRDefault="00000000">
      <w:pPr>
        <w:pStyle w:val="Otsikko"/>
      </w:pPr>
      <w:r>
        <w:t>Supplementary Material: Proofs</w:t>
      </w:r>
    </w:p>
    <w:p w14:paraId="6645B463" w14:textId="77777777" w:rsidR="00447AA9" w:rsidRDefault="00000000">
      <w:pPr>
        <w:pStyle w:val="Otsikko3"/>
      </w:pPr>
      <w:bookmarkStart w:id="0" w:name="s-lmi-covariance"/>
      <w:r>
        <w:t>S-LMI Covariance</w:t>
      </w:r>
    </w:p>
    <w:p w14:paraId="1B2629FC" w14:textId="77777777" w:rsidR="00447AA9" w:rsidRDefault="00000000">
      <w:pPr>
        <w:pStyle w:val="FirstParagraph"/>
      </w:pPr>
      <w:r>
        <w:t xml:space="preserve">s-LMI with 1 common factor decomposes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into following</w:t>
      </w:r>
    </w:p>
    <w:p w14:paraId="2225713B" w14:textId="130A31DF" w:rsidR="00447AA9" w:rsidRDefault="00000000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1759F41" w14:textId="3A30C92B" w:rsidR="00447AA9" w:rsidRDefault="00000000">
      <w:pPr>
        <w:pStyle w:val="FirstParagraph"/>
      </w:pPr>
      <w:r>
        <w:t xml:space="preserve">where by definition of s-LMI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diagonal and and </w:t>
      </w:r>
      <m:oMath>
        <m:r>
          <w:rPr>
            <w:rFonts w:ascii="Cambria Math" w:hAnsi="Cambria Math"/>
          </w:rPr>
          <m:t>Λ</m:t>
        </m:r>
      </m:oMath>
      <w:r>
        <w:t xml:space="preserve"> is a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</m:t>
        </m:r>
      </m:oMath>
      <w:r>
        <w:t xml:space="preserve"> column vector of factor loadings constant over time. We also need the covariance of the common factor at both time points. Let </w:t>
      </w:r>
      <m:oMath>
        <m:r>
          <w:rPr>
            <w:rFonts w:ascii="Cambria Math" w:hAnsi="Cambria Math"/>
          </w:rPr>
          <m:t>δ</m:t>
        </m:r>
      </m:oMath>
      <w:r>
        <w:t xml:space="preserve"> be the latent regression coefficient which links the common factor to itself at a previous time point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independent random term (‘innovation’, ‘error’, ‘disturbance’)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Assuming standardized common factor such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covariance of the common factor at two subsequent time points is</w:t>
      </w:r>
    </w:p>
    <w:p w14:paraId="686B4AA4" w14:textId="77777777" w:rsidR="00447AA9" w:rsidRDefault="00000000">
      <w:pPr>
        <w:pStyle w:val="Leipteksti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Cov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δVar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δ</m:t>
                </m:r>
              </m:e>
            </m:mr>
          </m:m>
        </m:oMath>
      </m:oMathPara>
    </w:p>
    <w:p w14:paraId="771B6119" w14:textId="77777777" w:rsidR="00447AA9" w:rsidRDefault="00000000">
      <w:pPr>
        <w:pStyle w:val="FirstParagraph"/>
      </w:pPr>
      <w:r>
        <w:t xml:space="preserve">Now lets look at the </w:t>
      </w:r>
      <m:oMath>
        <m:r>
          <w:rPr>
            <w:rFonts w:ascii="Cambria Math" w:hAnsi="Cambria Math"/>
          </w:rPr>
          <m:t>2K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2K</m:t>
        </m:r>
      </m:oMath>
      <w:r>
        <w:t xml:space="preserve"> covariance matrix from the perspective of strict LMI. A s-LMI model imposes that</w:t>
      </w:r>
    </w:p>
    <w:p w14:paraId="7068EF05" w14:textId="77777777" w:rsidR="00447AA9" w:rsidRDefault="00000000">
      <w:pPr>
        <w:pStyle w:val="Leipteksti"/>
      </w:pPr>
      <m:oMathPara>
        <m:oMathParaPr>
          <m:jc m:val="center"/>
        </m:oMathParaPr>
        <m:oMath>
          <m:r>
            <m:rPr>
              <m:nor/>
            </m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across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across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04A6853C" w14:textId="77777777" w:rsidR="00447AA9" w:rsidRDefault="00000000">
      <w:pPr>
        <w:pStyle w:val="FirstParagraph"/>
      </w:pPr>
      <w:r>
        <w:t>where</w:t>
      </w:r>
    </w:p>
    <w:p w14:paraId="0352105D" w14:textId="77777777" w:rsidR="00447AA9" w:rsidRDefault="00000000">
      <w:pPr>
        <w:pStyle w:val="Leipteksti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7E4A70C9" w14:textId="77777777" w:rsidR="00447AA9" w:rsidRDefault="00000000">
      <w:pPr>
        <w:pStyle w:val="FirstParagraph"/>
      </w:pPr>
      <w:r>
        <w:t xml:space="preserve">is a block matrix that sandwiches the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>
        <w:t xml:space="preserve"> covariance matrix of the common factor at both time points.</w:t>
      </w:r>
    </w:p>
    <w:p w14:paraId="08D5C749" w14:textId="77777777" w:rsidR="00447AA9" w:rsidRDefault="00000000">
      <w:pPr>
        <w:pStyle w:val="Leipteksti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across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across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across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across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across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across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0C4AF418" w14:textId="77777777" w:rsidR="00447AA9" w:rsidRDefault="00000000">
      <w:pPr>
        <w:pStyle w:val="FirstParagraph"/>
      </w:pPr>
      <w:r>
        <w:t xml:space="preserve">From the above we see that the strict LMI can only be compatible with any process with stationary covariance, if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(assuming </w:t>
      </w:r>
      <m:oMath>
        <m:r>
          <w:rPr>
            <w:rFonts w:ascii="Cambria Math" w:hAnsi="Cambria Math"/>
          </w:rPr>
          <m:t>Λ</m:t>
        </m:r>
      </m:oMath>
      <w:r>
        <w:t xml:space="preserve"> is non-zero). (When fitting a s-LMI model this is allowed.) We also see that s-LMI is compatible with non-stationary processes where the covariance is proportional to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aligning with </w:t>
      </w:r>
      <w:r>
        <w:lastRenderedPageBreak/>
        <w:t>previous theoretical analysis where covariance increased over time in a LMI preserving model.</w:t>
      </w:r>
    </w:p>
    <w:p w14:paraId="3282F584" w14:textId="77777777" w:rsidR="00447AA9" w:rsidRDefault="00000000">
      <w:pPr>
        <w:pStyle w:val="Leipteksti"/>
      </w:pPr>
      <w:r>
        <w:t xml:space="preserve">A brief note on notation: We’ll be using simply </w:t>
      </w:r>
      <m:oMath>
        <m:r>
          <w:rPr>
            <w:rFonts w:ascii="Cambria Math" w:hAnsi="Cambria Math"/>
          </w:rPr>
          <m:t>Ω</m:t>
        </m:r>
      </m:oMath>
      <w:r>
        <w:t xml:space="preserve"> for the s-LMI residual covariance, since residual covariance is assumed invariant over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=…=</m:t>
        </m:r>
        <m:r>
          <w:rPr>
            <w:rFonts w:ascii="Cambria Math" w:hAnsi="Cambria Math"/>
          </w:rPr>
          <m:t>Ω</m:t>
        </m:r>
      </m:oMath>
      <w:r>
        <w:t xml:space="preserve"> .</w:t>
      </w:r>
    </w:p>
    <w:p w14:paraId="651196A7" w14:textId="77777777" w:rsidR="00447AA9" w:rsidRDefault="00000000">
      <w:pPr>
        <w:pStyle w:val="Leipteksti"/>
      </w:pPr>
      <w:r>
        <w:t>Using the above auxiliary results we can move to analyse the null hypothesis (hypotheses) of no difference between VAR(1) and s-LMI.</w:t>
      </w:r>
    </w:p>
    <w:p w14:paraId="6ECD6C5E" w14:textId="77777777" w:rsidR="00447AA9" w:rsidRDefault="00000000">
      <w:pPr>
        <w:pStyle w:val="Otsikko3"/>
      </w:pPr>
      <w:bookmarkStart w:id="1" w:name="X851d776e0c89947289329efaa602be53b9eaf6d"/>
      <w:bookmarkEnd w:id="0"/>
      <w:r>
        <w:t xml:space="preserve">Proof for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dI</m:t>
        </m:r>
      </m:oMath>
      <w:r>
        <w:t xml:space="preserve"> spanning (matrix) vector space</w:t>
      </w:r>
    </w:p>
    <w:p w14:paraId="59C33AF9" w14:textId="77777777" w:rsidR="00447AA9" w:rsidRDefault="00000000">
      <w:pPr>
        <w:pStyle w:val="Compact"/>
        <w:numPr>
          <w:ilvl w:val="0"/>
          <w:numId w:val="2"/>
        </w:numPr>
      </w:pPr>
      <w:r>
        <w:t>Refinements are necessary, but central ideas should be visible.</w:t>
      </w:r>
    </w:p>
    <w:p w14:paraId="31BA40CB" w14:textId="77777777" w:rsidR="00447AA9" w:rsidRDefault="00000000">
      <w:pPr>
        <w:pStyle w:val="Compact"/>
        <w:numPr>
          <w:ilvl w:val="0"/>
          <w:numId w:val="2"/>
        </w:numPr>
      </w:pPr>
      <w:r>
        <w:t>Some proofs might be good to show here and use this as a supplement.</w:t>
      </w:r>
    </w:p>
    <w:p w14:paraId="51547985" w14:textId="77777777" w:rsidR="00447AA9" w:rsidRDefault="00000000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a </w:t>
      </w:r>
      <m:oMath>
        <m:r>
          <w:rPr>
            <w:rFonts w:ascii="Cambria Math" w:hAnsi="Cambria Math"/>
          </w:rPr>
          <m:t>k</m:t>
        </m:r>
      </m:oMath>
      <w:r>
        <w:t xml:space="preserve"> dimensional matrix of ones, the subindex of which will be omitted in the following.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</w:t>
      </w:r>
      <m:oMath>
        <m:r>
          <w:rPr>
            <w:rFonts w:ascii="Cambria Math" w:hAnsi="Cambria Math"/>
          </w:rPr>
          <m:t>k</m:t>
        </m:r>
      </m:oMath>
      <w:r>
        <w:t xml:space="preserve"> dimensional identity matrix, similarly omitting the subindex in the following. We will first show that the space which these two matrices span contains a set of drift matrices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that produce covariance matrices perfectly also explained by S-LMI model.</w:t>
      </w:r>
    </w:p>
    <w:p w14:paraId="30C6D1FD" w14:textId="77777777" w:rsidR="00447AA9" w:rsidRDefault="00000000">
      <w:pPr>
        <w:pStyle w:val="Leipteksti"/>
      </w:pPr>
      <w:r>
        <w:t xml:space="preserve">Let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cJ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dI</m:t>
        </m:r>
      </m:oMath>
      <w:r>
        <w:t xml:space="preserve">. Let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be the positive semidefinite hermitian covariance matrix of random variables </w:t>
      </w:r>
      <m:oMath>
        <m:r>
          <w:rPr>
            <w:rFonts w:ascii="Cambria Math" w:hAnsi="Cambria Math"/>
          </w:rPr>
          <m:t>X</m:t>
        </m:r>
      </m:oMath>
      <w:r>
        <w:t xml:space="preserve"> observed at different time points </w:t>
      </w:r>
      <m:oMath>
        <m:r>
          <w:rPr>
            <w:rFonts w:ascii="Cambria Math" w:hAnsi="Cambria Math"/>
          </w:rPr>
          <m:t>t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. We will omit any special cases that might occur at small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3</m:t>
        </m:r>
      </m:oMath>
      <w:r>
        <w:t xml:space="preserve"> due to the factor model being just identifiable at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. The cross-covariance is </w:t>
      </w:r>
      <m:oMath>
        <m:r>
          <w:rPr>
            <w:rFonts w:ascii="Cambria Math" w:hAnsi="Cambria Math"/>
          </w:rPr>
          <m:t>AΣ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cJ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dI</m:t>
            </m:r>
          </m:e>
        </m:d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cJΣ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dΣ</m:t>
        </m:r>
      </m:oMath>
      <w:r>
        <w:t xml:space="preserve">. Note that </w:t>
      </w:r>
      <m:oMath>
        <m:r>
          <w:rPr>
            <w:rFonts w:ascii="Cambria Math" w:hAnsi="Cambria Math"/>
          </w:rPr>
          <m:t>JΣ</m:t>
        </m:r>
      </m:oMath>
      <w:r>
        <w:t xml:space="preserve"> is effectively summing over the covariances for each variable producing then </w:t>
      </w:r>
      <m:oMath>
        <m:r>
          <w:rPr>
            <w:rFonts w:ascii="Cambria Math" w:hAnsi="Cambria Math"/>
          </w:rPr>
          <m:t>k</m:t>
        </m:r>
      </m:oMath>
      <w:r>
        <w:t xml:space="preserve"> different values, one for each column of </w:t>
      </w:r>
      <m:oMath>
        <m:r>
          <w:rPr>
            <w:rFonts w:ascii="Cambria Math" w:hAnsi="Cambria Math"/>
          </w:rPr>
          <m:t>Σ</m:t>
        </m:r>
      </m:oMath>
      <w:r>
        <w:t>, such that</w:t>
      </w:r>
    </w:p>
    <w:p w14:paraId="56729540" w14:textId="77777777" w:rsidR="00447AA9" w:rsidRDefault="00000000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cJΣ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04D496E3" w14:textId="77777777" w:rsidR="00447AA9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. Clearly </w:t>
      </w:r>
      <m:oMath>
        <m:r>
          <w:rPr>
            <w:rFonts w:ascii="Cambria Math" w:hAnsi="Cambria Math"/>
          </w:rPr>
          <m:t>dΣ</m:t>
        </m:r>
      </m:oMath>
      <w:r>
        <w:t xml:space="preserve"> is a scalar multiple of the covariance.</w:t>
      </w:r>
    </w:p>
    <w:p w14:paraId="6AAD45C0" w14:textId="77777777" w:rsidR="00447AA9" w:rsidRDefault="00000000">
      <w:pPr>
        <w:pStyle w:val="Leipteksti"/>
      </w:pPr>
      <w:r>
        <w:t xml:space="preserve">Define innovations contained in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to have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so that the covariance of the innovations </w:t>
      </w:r>
      <m:oMath>
        <m:r>
          <w:rPr>
            <w:rFonts w:ascii="Cambria Math" w:hAnsi="Cambria Math"/>
          </w:rPr>
          <m:t>Ψ</m:t>
        </m:r>
      </m:oMath>
      <w:r>
        <w:t xml:space="preserve"> is diagonal. We also need that the innovation variances are the same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Since </w:t>
      </w:r>
      <m:oMath>
        <m:r>
          <w:rPr>
            <w:rFonts w:ascii="Cambria Math" w:hAnsi="Cambria Math"/>
          </w:rPr>
          <m:t>A</m:t>
        </m:r>
      </m:oMath>
      <w:r>
        <w:t xml:space="preserve"> completely now defines covariance of </w:t>
      </w:r>
      <m:oMath>
        <m:r>
          <w:rPr>
            <w:rFonts w:ascii="Cambria Math" w:hAnsi="Cambria Math"/>
          </w:rPr>
          <m:t>X</m:t>
        </m:r>
      </m:oMath>
      <w:r>
        <w:t xml:space="preserve">, we have that all variables must have identical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for all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>
        <w:t xml:space="preserve">. This is because </w:t>
      </w:r>
      <m:oMath>
        <m:r>
          <w:rPr>
            <w:rFonts w:ascii="Cambria Math" w:hAnsi="Cambria Math"/>
          </w:rPr>
          <m:t>A</m:t>
        </m:r>
      </m:oMath>
      <w:r>
        <w:t xml:space="preserve"> defines identical cross-lagged autoregression coefficients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. Note that </w:t>
      </w:r>
      <m:oMath>
        <m:r>
          <w:rPr>
            <w:rFonts w:ascii="Cambria Math" w:hAnsi="Cambria Math"/>
          </w:rPr>
          <m:t>A</m:t>
        </m:r>
      </m:oMath>
      <w:r>
        <w:t xml:space="preserve"> also has identical autoregression coefficients and hence the variances are also identical for all </w:t>
      </w:r>
      <m:oMath>
        <m:r>
          <w:rPr>
            <w:rFonts w:ascii="Cambria Math" w:hAnsi="Cambria Math"/>
          </w:rPr>
          <m:t>x</m:t>
        </m:r>
      </m:oMath>
      <w:r>
        <w:t>. This means that</w:t>
      </w:r>
    </w:p>
    <w:p w14:paraId="1459B4F0" w14:textId="77777777" w:rsidR="00447AA9" w:rsidRDefault="00000000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cJΣ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507F1B07" w14:textId="77777777" w:rsidR="00447AA9" w:rsidRDefault="00000000">
      <w:pPr>
        <w:pStyle w:val="FirstParagraph"/>
      </w:pPr>
      <w:r>
        <w:t xml:space="preserve">and </w:t>
      </w:r>
      <m:oMath>
        <m:r>
          <w:rPr>
            <w:rFonts w:ascii="Cambria Math" w:hAnsi="Cambria Math"/>
          </w:rPr>
          <m:t>dΣ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hence also</w:t>
      </w:r>
    </w:p>
    <w:p w14:paraId="373CAC17" w14:textId="77777777" w:rsidR="00447AA9" w:rsidRDefault="00000000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AΣ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dI</m:t>
              </m:r>
            </m:e>
          </m:d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2DA2D250" w14:textId="77777777" w:rsidR="00447AA9" w:rsidRDefault="00000000">
      <w:pPr>
        <w:pStyle w:val="FirstParagraph"/>
      </w:pPr>
      <w:r>
        <w:t>Also see that</w:t>
      </w:r>
    </w:p>
    <w:p w14:paraId="5A6B0660" w14:textId="77777777" w:rsidR="00447AA9" w:rsidRDefault="00000000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dI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kJ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dcJ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dcJ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2dc</m:t>
                      </m:r>
                    </m:e>
                  </m:d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lim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∈R</m:t>
              </m:r>
            </m:lim>
          </m:limLow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6E07D5F" w14:textId="77777777" w:rsidR="00447AA9" w:rsidRDefault="00000000">
      <w:pPr>
        <w:pStyle w:val="FirstParagraph"/>
      </w:pPr>
      <w:r>
        <w:t xml:space="preserve">where we can see that </w:t>
      </w:r>
      <m:oMath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</m:oMath>
      <w:r>
        <w:t xml:space="preserve"> have coordinates in the space </w:t>
      </w: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, derivable from the equation above. Using induction this can be proven for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×...×</m:t>
        </m:r>
        <m:r>
          <w:rPr>
            <w:rFonts w:ascii="Cambria Math" w:hAnsi="Cambria Math"/>
          </w:rPr>
          <m:t>AΣ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which means that all cross covariances for any change in time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are also in this space.</w:t>
      </w:r>
    </w:p>
    <w:p w14:paraId="7D367FF2" w14:textId="77777777" w:rsidR="00447AA9" w:rsidRDefault="00000000">
      <w:pPr>
        <w:pStyle w:val="Leipteksti"/>
      </w:pPr>
      <w:r>
        <w:t xml:space="preserve">Now, since we have that all covariances are the same, then for the S-LMI model with </w:t>
      </w:r>
      <m:oMath>
        <m:r>
          <m:rPr>
            <m:nor/>
          </m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all factor loadings must be the same so that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nor/>
          </m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>
        <w:t xml:space="preserve"> . The residual cross covariances must also be the same, at some </w:t>
      </w:r>
      <m:oMath>
        <m:r>
          <w:rPr>
            <w:rFonts w:ascii="Cambria Math" w:hAnsi="Cambria Math"/>
          </w:rPr>
          <m:t>Δ</m:t>
        </m:r>
      </m:oMath>
      <w:r>
        <w:t>, as seen above. (By this point the practical constraint is evident, but will be discussed later, elsewhere. - Sakari) Now we have that the S-LMI imposed cross covariance is</w:t>
      </w:r>
    </w:p>
    <w:p w14:paraId="2ED77055" w14:textId="77777777" w:rsidR="00447AA9" w:rsidRDefault="00000000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cJ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19FD4BD1" w14:textId="77777777" w:rsidR="00447AA9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δ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 is the regression coefficient for subsequent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the respective product is for multiple subsequent regressions.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is the product of regression coefficients of the latent variable to itsefl at previous timepoints.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>
        <w:t xml:space="preserve"> is a diagonal matix of residual covariances, all of which are the same.</w:t>
      </w:r>
    </w:p>
    <w:p w14:paraId="255249B9" w14:textId="77777777" w:rsidR="00447AA9" w:rsidRDefault="00000000">
      <w:pPr>
        <w:pStyle w:val="Otsikko4"/>
      </w:pPr>
      <w:bookmarkStart w:id="2" w:name="X06c8525a35f794c28f5e144c648bf0d4f8bb5aa"/>
      <w:r>
        <w:t>General criterion for indistinguishability</w:t>
      </w:r>
    </w:p>
    <w:p w14:paraId="60E30BE8" w14:textId="77777777" w:rsidR="00447AA9" w:rsidRDefault="00000000">
      <w:pPr>
        <w:pStyle w:val="FirstParagraph"/>
      </w:pPr>
      <w:r>
        <w:t>Assumptions</w:t>
      </w:r>
    </w:p>
    <w:p w14:paraId="014CAAFC" w14:textId="77777777" w:rsidR="00447AA9" w:rsidRDefault="00000000">
      <w:pPr>
        <w:pStyle w:val="Leipteksti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⇒det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nor/>
                  </m:rPr>
                  <m:t>(VAR is stationary.)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,det</m:t>
                </m:r>
                <m: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nor/>
                  </m:rPr>
                  <m:t>(Diagonal residuals and innovations are non-zero.)</m:t>
                </m:r>
              </m:e>
            </m:mr>
            <m:mr>
              <m:e>
                <m:r>
                  <m:rPr>
                    <m:nor/>
                  </m:rPr>
                  <m:t xml:space="preserve">rank </m:t>
                </m:r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nor/>
                  </m:rPr>
                  <m:t>(One common factor.)</m:t>
                </m:r>
              </m:e>
            </m:mr>
          </m:m>
        </m:oMath>
      </m:oMathPara>
    </w:p>
    <w:p w14:paraId="75484801" w14:textId="77777777" w:rsidR="00447AA9" w:rsidRDefault="00000000">
      <w:pPr>
        <w:pStyle w:val="FirstParagraph"/>
      </w:pPr>
      <w:r>
        <w:t>We have a set of conditions, and their implications, which must be satisfied, if indistinguishability holds:</w:t>
      </w:r>
    </w:p>
    <w:p w14:paraId="70FF52FC" w14:textId="77777777" w:rsidR="00447AA9" w:rsidRDefault="00000000">
      <w:pPr>
        <w:pStyle w:val="Leipteksti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2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AΣ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Ψ</m:t>
                </m:r>
              </m:e>
              <m:e/>
              <m:e>
                <m:r>
                  <m:rPr>
                    <m:nor/>
                  </m:rPr>
                  <m:t>(Within time point VAR covariance is common factor decomposable.)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Ω</m:t>
                </m:r>
              </m:e>
              <m:e/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Ψ</m:t>
                </m:r>
              </m:e>
              <m:e/>
              <m:e/>
            </m:mr>
            <m:mr>
              <m:e/>
              <m:e/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Δ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  <m:e/>
              <m:e>
                <m:r>
                  <m:rPr>
                    <m:nor/>
                  </m:rPr>
                  <m:t>(VAR cross-covariance is LMI decomposable.)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 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  <m:e/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Δ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e/>
              <m:e/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,...</m:t>
                </m:r>
              </m:e>
              <m:e/>
              <m:e/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∈R</m:t>
                </m:r>
              </m:e>
              <m:e/>
              <m:e/>
            </m:mr>
            <m:mr>
              <m:e/>
              <m:e/>
              <m:e/>
              <m:e/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/>
              <m:e>
                <m:r>
                  <m:rPr>
                    <m:nor/>
                  </m:rPr>
                  <m:t>(Cross-covariance is always symmetric.)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  <m:e/>
              <m:e/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  <m:e/>
              <m:e/>
            </m:mr>
            <m:mr>
              <m:e/>
              <m:e/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/>
              <m:e/>
            </m:mr>
            <m:mr>
              <m:e/>
              <m:e/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/>
              <m:e/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1F8642" w14:textId="77777777" w:rsidR="00447AA9" w:rsidRDefault="00000000">
      <w:pPr>
        <w:pStyle w:val="FirstParagraph"/>
      </w:pPr>
      <w:r>
        <w:t xml:space="preserve">Another, more general, criterion for indistinguishability that the subspace of positive semi-definite symmetric matrices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must be invariant under </w:t>
      </w:r>
      <m:oMath>
        <m:r>
          <w:rPr>
            <w:rFonts w:ascii="Cambria Math" w:hAnsi="Cambria Math"/>
          </w:rPr>
          <m:t>A</m:t>
        </m:r>
      </m:oMath>
      <w:r>
        <w:t xml:space="preserve">. This is because 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>
        <w:t xml:space="preserve"> is always positive semi-definite symmetric.</w:t>
      </w:r>
    </w:p>
    <w:p w14:paraId="5206E958" w14:textId="3ECAD037" w:rsidR="00472284" w:rsidRDefault="00472284" w:rsidP="00472284">
      <w:pPr>
        <w:pStyle w:val="Otsikko2"/>
      </w:pPr>
      <w:r>
        <w:t>Generalization to intervention design</w:t>
      </w:r>
    </w:p>
    <w:p w14:paraId="4C6EBC07" w14:textId="790F83CE" w:rsidR="00472284" w:rsidRDefault="00472284" w:rsidP="00472284">
      <w:pPr>
        <w:pStyle w:val="Leipteksti"/>
      </w:pPr>
      <w:r>
        <w:t>We now generalize first the S-LMI, as it is straightforward, and second VAR(1) to an intervention design. We consider the simple case where intervention is targeted at either a) the C-F or b) one symptom in a Network.</w:t>
      </w:r>
      <w:r w:rsidR="00DD6A28">
        <w:t xml:space="preserve"> We begin with a simple intervention where the effect is constant, and move to an intervention where the effect is multiplicative.</w:t>
      </w:r>
    </w:p>
    <w:p w14:paraId="44C70F1F" w14:textId="497F4534" w:rsidR="00803CFD" w:rsidRDefault="00803CFD" w:rsidP="00472284">
      <w:pPr>
        <w:pStyle w:val="Leipteksti"/>
      </w:pPr>
      <w:r>
        <w:t>The S-LMI within time point covariance is:</w:t>
      </w:r>
    </w:p>
    <w:p w14:paraId="7A8AA615" w14:textId="12D40A7A" w:rsidR="00803CFD" w:rsidRDefault="00803CFD" w:rsidP="00803CFD">
      <w:pPr>
        <w:pStyle w:val="Leipteksti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×V</m:t>
          </m:r>
          <m:r>
            <m:rPr>
              <m:sty m:val="p"/>
            </m:rPr>
            <w:rPr>
              <w:rFonts w:ascii="Cambria Math" w:hAnsi="Cambria Math"/>
            </w:rPr>
            <m:t>ar(η)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8A19197" w14:textId="58CBA9EF" w:rsidR="00803CFD" w:rsidRDefault="00803CFD" w:rsidP="00472284">
      <w:pPr>
        <w:pStyle w:val="Leipteksti"/>
      </w:pPr>
      <w:r>
        <w:t xml:space="preserve">Where we have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as previously assumed, without loss of generality. </w:t>
      </w:r>
    </w:p>
    <w:p w14:paraId="41D2BE8E" w14:textId="6B37A946" w:rsidR="006F0F81" w:rsidRDefault="00803CFD" w:rsidP="00472284">
      <w:pPr>
        <w:pStyle w:val="Leipteksti"/>
        <w:rPr>
          <w:rFonts w:eastAsiaTheme="minorEastAsia"/>
        </w:rPr>
      </w:pPr>
      <w:r>
        <w:t xml:space="preserve">Say we intervene on </w:t>
      </w:r>
      <m:oMath>
        <m:r>
          <w:rPr>
            <w:rFonts w:ascii="Cambria Math" w:hAnsi="Cambria Math"/>
          </w:rPr>
          <m:t>η</m:t>
        </m:r>
      </m:oMath>
      <w:r w:rsidR="006F0F81">
        <w:rPr>
          <w:rFonts w:eastAsiaTheme="minorEastAsia"/>
        </w:rPr>
        <w:t xml:space="preserve"> with an intervention </w:t>
      </w:r>
      <m:oMath>
        <m:r>
          <w:rPr>
            <w:rFonts w:ascii="Cambria Math" w:eastAsiaTheme="minorEastAsia" w:hAnsi="Cambria Math"/>
          </w:rPr>
          <m:t>I</m:t>
        </m:r>
      </m:oMath>
      <w:r w:rsidR="0091376B">
        <w:rPr>
          <w:rFonts w:eastAsiaTheme="minorEastAsia"/>
        </w:rPr>
        <w:t xml:space="preserve"> which has an effect</w:t>
      </w:r>
      <w:r w:rsidR="006F0F81">
        <w:rPr>
          <w:rFonts w:eastAsiaTheme="minorEastAsia"/>
        </w:rPr>
        <w:t xml:space="preserve"> independent of </w:t>
      </w:r>
      <m:oMath>
        <m:r>
          <w:rPr>
            <w:rFonts w:ascii="Cambria Math" w:eastAsiaTheme="minorEastAsia" w:hAnsi="Cambria Math"/>
          </w:rPr>
          <m:t>η</m:t>
        </m:r>
      </m:oMath>
      <w:r w:rsidR="00B703E0">
        <w:rPr>
          <w:rFonts w:eastAsiaTheme="minorEastAsia"/>
        </w:rPr>
        <w:t xml:space="preserve">, so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  <m:e>
            <m:r>
              <w:rPr>
                <w:rFonts w:ascii="Cambria Math" w:eastAsiaTheme="minorEastAsia" w:hAnsi="Cambria Math"/>
              </w:rPr>
              <m:t>do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=η-I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03B30">
        <w:rPr>
          <w:rFonts w:eastAsiaTheme="minorEastAsia"/>
        </w:rPr>
        <w:t>regardless of</w:t>
      </w:r>
      <w:r w:rsidR="0066024E">
        <w:rPr>
          <w:rFonts w:eastAsiaTheme="minorEastAsia"/>
        </w:rPr>
        <w:t xml:space="preserve"> what value </w:t>
      </w:r>
      <m:oMath>
        <m:r>
          <w:rPr>
            <w:rFonts w:ascii="Cambria Math" w:eastAsiaTheme="minorEastAsia" w:hAnsi="Cambria Math"/>
          </w:rPr>
          <m:t>η</m:t>
        </m:r>
      </m:oMath>
      <w:r w:rsidR="0066024E">
        <w:rPr>
          <w:rFonts w:eastAsiaTheme="minorEastAsia"/>
        </w:rPr>
        <w:t xml:space="preserve"> has</w:t>
      </w:r>
      <w:r w:rsidR="00D20870">
        <w:rPr>
          <w:rFonts w:eastAsiaTheme="minorEastAsia"/>
        </w:rPr>
        <w:t>.</w:t>
      </w:r>
      <w:r w:rsidR="00B703E0">
        <w:rPr>
          <w:rFonts w:eastAsiaTheme="minorEastAsia"/>
        </w:rPr>
        <w:t xml:space="preserve"> </w:t>
      </w:r>
      <w:r w:rsidR="00D20870">
        <w:rPr>
          <w:rFonts w:eastAsiaTheme="minorEastAsia"/>
        </w:rPr>
        <w:t>W</w:t>
      </w:r>
      <w:r w:rsidR="00B703E0">
        <w:rPr>
          <w:rFonts w:eastAsiaTheme="minorEastAsia"/>
        </w:rPr>
        <w:t>e use the ‘do’ operator to explicitly</w:t>
      </w:r>
      <w:r w:rsidR="00354FC5">
        <w:rPr>
          <w:rFonts w:eastAsiaTheme="minorEastAsia"/>
        </w:rPr>
        <w:t xml:space="preserve"> note that we change the intervention value</w:t>
      </w:r>
      <w:r w:rsidR="00B703E0">
        <w:rPr>
          <w:rFonts w:eastAsiaTheme="minorEastAsia"/>
        </w:rPr>
        <w:t xml:space="preserve">. Now the variance </w:t>
      </w:r>
      <w:r w:rsidR="006F0F81">
        <w:rPr>
          <w:rFonts w:eastAsiaTheme="minorEastAsia"/>
        </w:rPr>
        <w:t xml:space="preserve">of C-F </w:t>
      </w:r>
      <m:oMath>
        <m:r>
          <w:rPr>
            <w:rFonts w:ascii="Cambria Math" w:eastAsiaTheme="minorEastAsia" w:hAnsi="Cambria Math"/>
          </w:rPr>
          <m:t>η</m:t>
        </m:r>
      </m:oMath>
      <w:r w:rsidR="006F0F81">
        <w:rPr>
          <w:rFonts w:eastAsiaTheme="minorEastAsia"/>
        </w:rPr>
        <w:t xml:space="preserve"> </w:t>
      </w:r>
      <w:r w:rsidR="00E03B30">
        <w:rPr>
          <w:rFonts w:eastAsiaTheme="minorEastAsia"/>
        </w:rPr>
        <w:t xml:space="preserve">is not changed,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03B30">
        <w:rPr>
          <w:rFonts w:eastAsiaTheme="minorEastAsia"/>
        </w:rPr>
        <w:t>and consequently the covariance remains unchanged.</w:t>
      </w:r>
    </w:p>
    <w:p w14:paraId="6F557939" w14:textId="22E64EA1" w:rsidR="00516E40" w:rsidRDefault="00516E40" w:rsidP="00472284">
      <w:pPr>
        <w:pStyle w:val="Leipteksti"/>
        <w:rPr>
          <w:rFonts w:eastAsiaTheme="minorEastAsia"/>
        </w:rPr>
      </w:pPr>
      <w:r>
        <w:rPr>
          <w:rFonts w:eastAsiaTheme="minorEastAsia"/>
        </w:rPr>
        <w:t>This creates a problem. S-LMI does not recognize</w:t>
      </w:r>
      <w:r w:rsidR="00CF3485">
        <w:rPr>
          <w:rFonts w:eastAsiaTheme="minorEastAsia"/>
        </w:rPr>
        <w:t xml:space="preserve"> effects</w:t>
      </w:r>
      <w:r w:rsidR="008F1EAA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such interventions. </w:t>
      </w:r>
    </w:p>
    <w:p w14:paraId="66A803B5" w14:textId="77777777" w:rsidR="00DD6A28" w:rsidRPr="00E03B30" w:rsidRDefault="00DD6A28" w:rsidP="00472284">
      <w:pPr>
        <w:pStyle w:val="Leipteksti"/>
        <w:rPr>
          <w:rFonts w:eastAsiaTheme="minorEastAsia"/>
        </w:rPr>
      </w:pPr>
    </w:p>
    <w:p w14:paraId="05299B02" w14:textId="77777777" w:rsidR="00E03B30" w:rsidRDefault="00E03B30" w:rsidP="00472284">
      <w:pPr>
        <w:pStyle w:val="Leipteksti"/>
        <w:rPr>
          <w:rFonts w:eastAsiaTheme="minorEastAsia"/>
        </w:rPr>
      </w:pPr>
    </w:p>
    <w:p w14:paraId="72817FA5" w14:textId="77777777" w:rsidR="00B703E0" w:rsidRDefault="00B703E0" w:rsidP="00472284">
      <w:pPr>
        <w:pStyle w:val="Leipteksti"/>
        <w:rPr>
          <w:rFonts w:eastAsiaTheme="minorEastAsia"/>
        </w:rPr>
      </w:pPr>
    </w:p>
    <w:bookmarkEnd w:id="1"/>
    <w:bookmarkEnd w:id="2"/>
    <w:p w14:paraId="71E784C8" w14:textId="77777777" w:rsidR="00B703E0" w:rsidRPr="00472284" w:rsidRDefault="00B703E0" w:rsidP="00472284">
      <w:pPr>
        <w:pStyle w:val="Leipteksti"/>
      </w:pPr>
    </w:p>
    <w:sectPr w:rsidR="00B703E0" w:rsidRPr="004722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08C77" w14:textId="77777777" w:rsidR="006226C3" w:rsidRDefault="006226C3">
      <w:pPr>
        <w:spacing w:after="0"/>
      </w:pPr>
      <w:r>
        <w:separator/>
      </w:r>
    </w:p>
  </w:endnote>
  <w:endnote w:type="continuationSeparator" w:id="0">
    <w:p w14:paraId="5245A0CF" w14:textId="77777777" w:rsidR="006226C3" w:rsidRDefault="00622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2C0E0" w14:textId="77777777" w:rsidR="006226C3" w:rsidRDefault="006226C3">
      <w:r>
        <w:separator/>
      </w:r>
    </w:p>
  </w:footnote>
  <w:footnote w:type="continuationSeparator" w:id="0">
    <w:p w14:paraId="2765185B" w14:textId="77777777" w:rsidR="006226C3" w:rsidRDefault="0062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87CB4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8480A0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70805773">
    <w:abstractNumId w:val="0"/>
  </w:num>
  <w:num w:numId="2" w16cid:durableId="204571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AA9"/>
    <w:rsid w:val="001D79C7"/>
    <w:rsid w:val="00354FC5"/>
    <w:rsid w:val="00447AA9"/>
    <w:rsid w:val="00472284"/>
    <w:rsid w:val="004768F5"/>
    <w:rsid w:val="00516E40"/>
    <w:rsid w:val="006226C3"/>
    <w:rsid w:val="0066024E"/>
    <w:rsid w:val="006F0F81"/>
    <w:rsid w:val="00803CFD"/>
    <w:rsid w:val="008F1EAA"/>
    <w:rsid w:val="0091376B"/>
    <w:rsid w:val="00A54E08"/>
    <w:rsid w:val="00B703E0"/>
    <w:rsid w:val="00CF3485"/>
    <w:rsid w:val="00D20870"/>
    <w:rsid w:val="00DD6A28"/>
    <w:rsid w:val="00E03B30"/>
    <w:rsid w:val="00FA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56474"/>
  <w15:docId w15:val="{F7ABD74D-567D-4F64-A7BD-BF81AC19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tsikko3">
    <w:name w:val="heading 3"/>
    <w:basedOn w:val="Normaali"/>
    <w:next w:val="Leiptekst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tsikko6">
    <w:name w:val="heading 6"/>
    <w:basedOn w:val="Normaali"/>
    <w:next w:val="Leiptekst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tsikko7">
    <w:name w:val="heading 7"/>
    <w:basedOn w:val="Normaali"/>
    <w:next w:val="Leiptekst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tsikko8">
    <w:name w:val="heading 8"/>
    <w:basedOn w:val="Normaali"/>
    <w:next w:val="Leiptekst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tsikko9">
    <w:name w:val="heading 9"/>
    <w:basedOn w:val="Normaali"/>
    <w:next w:val="Leiptekst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qFormat/>
    <w:pPr>
      <w:spacing w:before="180" w:after="180"/>
    </w:pPr>
  </w:style>
  <w:style w:type="paragraph" w:customStyle="1" w:styleId="FirstParagraph">
    <w:name w:val="First Paragraph"/>
    <w:basedOn w:val="Leipteksti"/>
    <w:next w:val="Leipteksti"/>
    <w:qFormat/>
  </w:style>
  <w:style w:type="paragraph" w:customStyle="1" w:styleId="Compact">
    <w:name w:val="Compact"/>
    <w:basedOn w:val="Leipteksti"/>
    <w:qFormat/>
    <w:pPr>
      <w:spacing w:before="36" w:after="36"/>
    </w:pPr>
  </w:style>
  <w:style w:type="paragraph" w:styleId="Otsikko">
    <w:name w:val="Title"/>
    <w:basedOn w:val="Normaali"/>
    <w:next w:val="Leiptekst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pPr>
      <w:keepNext/>
      <w:keepLines/>
      <w:jc w:val="center"/>
    </w:p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pPr>
      <w:keepNext/>
      <w:keepLines/>
      <w:spacing w:before="300" w:after="300"/>
    </w:pPr>
    <w:rPr>
      <w:sz w:val="20"/>
      <w:szCs w:val="20"/>
    </w:rPr>
  </w:style>
  <w:style w:type="paragraph" w:styleId="Lhdeluettelo">
    <w:name w:val="Bibliography"/>
    <w:basedOn w:val="Normaali"/>
    <w:qFormat/>
  </w:style>
  <w:style w:type="paragraph" w:styleId="Lohkoteksti">
    <w:name w:val="Block Text"/>
    <w:basedOn w:val="Leipteksti"/>
    <w:next w:val="Leipteksti"/>
    <w:uiPriority w:val="9"/>
    <w:unhideWhenUsed/>
    <w:qFormat/>
    <w:pPr>
      <w:spacing w:before="100" w:after="100"/>
      <w:ind w:left="480" w:right="480"/>
    </w:pPr>
  </w:style>
  <w:style w:type="paragraph" w:styleId="Alaviitteenteksti">
    <w:name w:val="footnote text"/>
    <w:basedOn w:val="Normaali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otsikko">
    <w:name w:val="caption"/>
    <w:basedOn w:val="Normaali"/>
    <w:link w:val="KuvaotsikkoChar"/>
    <w:pPr>
      <w:spacing w:after="120"/>
    </w:pPr>
    <w:rPr>
      <w:i/>
    </w:rPr>
  </w:style>
  <w:style w:type="paragraph" w:customStyle="1" w:styleId="TableCaption">
    <w:name w:val="Table Caption"/>
    <w:basedOn w:val="Kuvaotsikko"/>
    <w:pPr>
      <w:keepNext/>
    </w:pPr>
  </w:style>
  <w:style w:type="paragraph" w:customStyle="1" w:styleId="ImageCaption">
    <w:name w:val="Image Caption"/>
    <w:basedOn w:val="Kuvaotsikko"/>
  </w:style>
  <w:style w:type="paragraph" w:customStyle="1" w:styleId="Figure">
    <w:name w:val="Figure"/>
    <w:basedOn w:val="Normaali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uvaotsikkoChar">
    <w:name w:val="Kuvaotsikko Char"/>
    <w:basedOn w:val="Kappaleenoletusfontti"/>
    <w:link w:val="Kuvaotsikko"/>
  </w:style>
  <w:style w:type="character" w:customStyle="1" w:styleId="VerbatimChar">
    <w:name w:val="Verbatim Char"/>
    <w:basedOn w:val="Kuvaotsikko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uvaotsikkoChar"/>
  </w:style>
  <w:style w:type="character" w:styleId="Alaviitteenviite">
    <w:name w:val="footnote reference"/>
    <w:basedOn w:val="KuvaotsikkoChar"/>
    <w:rPr>
      <w:vertAlign w:val="superscript"/>
    </w:rPr>
  </w:style>
  <w:style w:type="character" w:styleId="Hyperlinkki">
    <w:name w:val="Hyperlink"/>
    <w:basedOn w:val="Kuva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Paikkamerkkiteksti">
    <w:name w:val="Placeholder Text"/>
    <w:basedOn w:val="Kappaleenoletusfontti"/>
    <w:rsid w:val="00803C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Proofs</dc:title>
  <dc:creator/>
  <cp:keywords/>
  <cp:lastModifiedBy>Sakari Lintula</cp:lastModifiedBy>
  <cp:revision>17</cp:revision>
  <dcterms:created xsi:type="dcterms:W3CDTF">2024-05-27T10:58:00Z</dcterms:created>
  <dcterms:modified xsi:type="dcterms:W3CDTF">2024-05-29T12:32:00Z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type">
    <vt:lpwstr>document</vt:lpwstr>
  </property>
</Properties>
</file>