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376"/>
        <w:jc w:val="center"/>
        <w:rPr>
          <w:rFonts w:ascii="Arial" w:cs="Arial" w:eastAsia="Arial" w:hAnsi="Arial"/>
          <w:color w:val="000000"/>
          <w:sz w:val="20"/>
          <w:szCs w:val="20"/>
        </w:rPr>
      </w:pPr>
      <w:r w:rsidDel="00000000" w:rsidR="00000000" w:rsidRPr="00000000">
        <w:rPr>
          <w:rtl w:val="0"/>
        </w:rPr>
      </w:r>
    </w:p>
    <w:tbl>
      <w:tblPr>
        <w:tblStyle w:val="Table1"/>
        <w:tblW w:w="96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56"/>
        <w:tblGridChange w:id="0">
          <w:tblGrid>
            <w:gridCol w:w="9656"/>
          </w:tblGrid>
        </w:tblGridChange>
      </w:tblGrid>
      <w:tr>
        <w:trPr>
          <w:cantSplit w:val="0"/>
          <w:trHeight w:val="308" w:hRule="atLeast"/>
          <w:tblHeader w:val="0"/>
        </w:trPr>
        <w:tc>
          <w:tcPr>
            <w:shd w:fill="1f3864" w:val="clear"/>
          </w:tcPr>
          <w:p w:rsidR="00000000" w:rsidDel="00000000" w:rsidP="00000000" w:rsidRDefault="00000000" w:rsidRPr="00000000" w14:paraId="00000002">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Nombre de la HU</w:t>
            </w:r>
          </w:p>
        </w:tc>
      </w:tr>
      <w:tr>
        <w:trPr>
          <w:cantSplit w:val="0"/>
          <w:trHeight w:val="308" w:hRule="atLeast"/>
          <w:tblHeader w:val="0"/>
        </w:trPr>
        <w:tc>
          <w:tcPr/>
          <w:p w:rsidR="00000000" w:rsidDel="00000000" w:rsidP="00000000" w:rsidRDefault="00000000" w:rsidRPr="00000000" w14:paraId="00000003">
            <w:pPr>
              <w:ind w:right="-376"/>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HU11_SGDA_Verificación_de_la_PQRD</w:t>
            </w:r>
            <w:r w:rsidDel="00000000" w:rsidR="00000000" w:rsidRPr="00000000">
              <w:rPr>
                <w:rtl w:val="0"/>
              </w:rPr>
            </w:r>
          </w:p>
        </w:tc>
      </w:tr>
    </w:tbl>
    <w:p w:rsidR="00000000" w:rsidDel="00000000" w:rsidP="00000000" w:rsidRDefault="00000000" w:rsidRPr="00000000" w14:paraId="00000004">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2"/>
        <w:tblW w:w="96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31"/>
        <w:gridCol w:w="4833"/>
        <w:tblGridChange w:id="0">
          <w:tblGrid>
            <w:gridCol w:w="4831"/>
            <w:gridCol w:w="4833"/>
          </w:tblGrid>
        </w:tblGridChange>
      </w:tblGrid>
      <w:tr>
        <w:trPr>
          <w:cantSplit w:val="0"/>
          <w:trHeight w:val="385" w:hRule="atLeast"/>
          <w:tblHeader w:val="0"/>
        </w:trPr>
        <w:tc>
          <w:tcPr>
            <w:shd w:fill="1f3864" w:val="clear"/>
          </w:tcPr>
          <w:p w:rsidR="00000000" w:rsidDel="00000000" w:rsidP="00000000" w:rsidRDefault="00000000" w:rsidRPr="00000000" w14:paraId="00000005">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Escenario de la HU </w:t>
            </w:r>
          </w:p>
        </w:tc>
        <w:tc>
          <w:tcPr/>
          <w:p w:rsidR="00000000" w:rsidDel="00000000" w:rsidP="00000000" w:rsidRDefault="00000000" w:rsidRPr="00000000" w14:paraId="00000006">
            <w:pPr>
              <w:ind w:right="-376"/>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El gestionador envía la respuesta de verificación para que el revisor valide</w:t>
            </w:r>
            <w:r w:rsidDel="00000000" w:rsidR="00000000" w:rsidRPr="00000000">
              <w:rPr>
                <w:rtl w:val="0"/>
              </w:rPr>
            </w:r>
          </w:p>
        </w:tc>
      </w:tr>
      <w:tr>
        <w:trPr>
          <w:cantSplit w:val="0"/>
          <w:trHeight w:val="385" w:hRule="atLeast"/>
          <w:tblHeader w:val="0"/>
        </w:trPr>
        <w:tc>
          <w:tcPr>
            <w:shd w:fill="1f3864" w:val="clear"/>
          </w:tcPr>
          <w:p w:rsidR="00000000" w:rsidDel="00000000" w:rsidP="00000000" w:rsidRDefault="00000000" w:rsidRPr="00000000" w14:paraId="00000007">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Cómo (Rol)</w:t>
            </w:r>
          </w:p>
        </w:tc>
        <w:tc>
          <w:tcPr/>
          <w:p w:rsidR="00000000" w:rsidDel="00000000" w:rsidP="00000000" w:rsidRDefault="00000000" w:rsidRPr="00000000" w14:paraId="00000008">
            <w:pPr>
              <w:ind w:right="-376"/>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Revisor</w:t>
            </w:r>
            <w:r w:rsidDel="00000000" w:rsidR="00000000" w:rsidRPr="00000000">
              <w:rPr>
                <w:rtl w:val="0"/>
              </w:rPr>
            </w:r>
          </w:p>
        </w:tc>
      </w:tr>
      <w:tr>
        <w:trPr>
          <w:cantSplit w:val="0"/>
          <w:trHeight w:val="385" w:hRule="atLeast"/>
          <w:tblHeader w:val="0"/>
        </w:trPr>
        <w:tc>
          <w:tcPr>
            <w:shd w:fill="1f3864" w:val="clear"/>
          </w:tcPr>
          <w:p w:rsidR="00000000" w:rsidDel="00000000" w:rsidP="00000000" w:rsidRDefault="00000000" w:rsidRPr="00000000" w14:paraId="00000009">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Quiero (Objetivo)</w:t>
            </w:r>
          </w:p>
        </w:tc>
        <w:tc>
          <w:tcPr/>
          <w:p w:rsidR="00000000" w:rsidDel="00000000" w:rsidP="00000000" w:rsidRDefault="00000000" w:rsidRPr="00000000" w14:paraId="0000000A">
            <w:pPr>
              <w:ind w:right="-376"/>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Poder ver la información del caso</w:t>
            </w:r>
          </w:p>
        </w:tc>
      </w:tr>
      <w:tr>
        <w:trPr>
          <w:cantSplit w:val="0"/>
          <w:trHeight w:val="385" w:hRule="atLeast"/>
          <w:tblHeader w:val="0"/>
        </w:trPr>
        <w:tc>
          <w:tcPr>
            <w:shd w:fill="1f3864" w:val="clear"/>
          </w:tcPr>
          <w:p w:rsidR="00000000" w:rsidDel="00000000" w:rsidP="00000000" w:rsidRDefault="00000000" w:rsidRPr="00000000" w14:paraId="0000000B">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Para (beneficio) </w:t>
            </w:r>
          </w:p>
        </w:tc>
        <w:tc>
          <w:tcPr/>
          <w:p w:rsidR="00000000" w:rsidDel="00000000" w:rsidP="00000000" w:rsidRDefault="00000000" w:rsidRPr="00000000" w14:paraId="0000000C">
            <w:pPr>
              <w:ind w:right="-376"/>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Corregir o devolver el caso  </w:t>
            </w:r>
          </w:p>
        </w:tc>
      </w:tr>
    </w:tbl>
    <w:p w:rsidR="00000000" w:rsidDel="00000000" w:rsidP="00000000" w:rsidRDefault="00000000" w:rsidRPr="00000000" w14:paraId="0000000D">
      <w:pPr>
        <w:spacing w:after="0" w:lineRule="auto"/>
        <w:ind w:right="-37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bookmarkStart w:colFirst="0" w:colLast="0" w:name="_heading=h.2sdzzjujuyab" w:id="0"/>
      <w:bookmarkEnd w:id="0"/>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Control de versiones del documento </w:t>
      </w:r>
    </w:p>
    <w:tbl>
      <w:tblPr>
        <w:tblStyle w:val="Table3"/>
        <w:tblW w:w="97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0"/>
        <w:gridCol w:w="3339"/>
        <w:gridCol w:w="2240"/>
        <w:gridCol w:w="1552"/>
        <w:gridCol w:w="1552"/>
        <w:tblGridChange w:id="0">
          <w:tblGrid>
            <w:gridCol w:w="1030"/>
            <w:gridCol w:w="3339"/>
            <w:gridCol w:w="2240"/>
            <w:gridCol w:w="1552"/>
            <w:gridCol w:w="1552"/>
          </w:tblGrid>
        </w:tblGridChange>
      </w:tblGrid>
      <w:tr>
        <w:trPr>
          <w:cantSplit w:val="0"/>
          <w:trHeight w:val="350" w:hRule="atLeast"/>
          <w:tblHeader w:val="0"/>
        </w:trPr>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0F">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0">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 de cambios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1">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Autor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2">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Fecha creación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3">
            <w:pPr>
              <w:spacing w:after="40" w:before="8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Aprobador </w:t>
            </w:r>
          </w:p>
        </w:tc>
      </w:tr>
      <w:tr>
        <w:trPr>
          <w:cantSplit w:val="0"/>
          <w:trHeight w:val="543"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2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Versión inicial Verificación de la PQRD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Santiago Mendez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r>
        <w:trPr>
          <w:cantSplit w:val="0"/>
          <w:trHeight w:val="543"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Proceso para la verificación de la PQRD- Primer refinamiento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Julio Berrio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bookmarkStart w:colFirst="0" w:colLast="0" w:name="_heading=h.x5k60dka739f" w:id="1"/>
      <w:bookmarkEnd w:id="1"/>
      <w:r w:rsidDel="00000000" w:rsidR="00000000" w:rsidRPr="00000000">
        <w:rPr>
          <w:rtl w:val="0"/>
        </w:rPr>
      </w:r>
    </w:p>
    <w:p w:rsidR="00000000" w:rsidDel="00000000" w:rsidP="00000000" w:rsidRDefault="00000000" w:rsidRPr="00000000" w14:paraId="0000001F">
      <w:pPr>
        <w:spacing w:after="0" w:lineRule="auto"/>
        <w:ind w:right="-376"/>
        <w:jc w:val="center"/>
        <w:rPr>
          <w:rFonts w:ascii="Arial" w:cs="Arial" w:eastAsia="Arial" w:hAnsi="Arial"/>
          <w:b w:val="1"/>
          <w:sz w:val="20"/>
          <w:szCs w:val="20"/>
        </w:rPr>
      </w:pPr>
      <w:r w:rsidDel="00000000" w:rsidR="00000000" w:rsidRPr="00000000">
        <w:rPr>
          <w:rtl w:val="0"/>
        </w:rPr>
      </w:r>
    </w:p>
    <w:tbl>
      <w:tblPr>
        <w:tblStyle w:val="Table4"/>
        <w:tblW w:w="98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26"/>
        <w:tblGridChange w:id="0">
          <w:tblGrid>
            <w:gridCol w:w="9826"/>
          </w:tblGrid>
        </w:tblGridChange>
      </w:tblGrid>
      <w:tr>
        <w:trPr>
          <w:cantSplit w:val="0"/>
          <w:trHeight w:val="42480.6640625" w:hRule="atLeast"/>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bookmarkStart w:colFirst="0" w:colLast="0" w:name="_heading=h.jrb409s8a111" w:id="2"/>
            <w:bookmarkEnd w:id="2"/>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bookmarkStart w:colFirst="0" w:colLast="0" w:name="_heading=h.475evyq5sq4e" w:id="3"/>
            <w:bookmarkEnd w:id="3"/>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Especificación del requerimiento: (Detalle del requerimiento) </w:t>
            </w:r>
          </w:p>
          <w:p w:rsidR="00000000" w:rsidDel="00000000" w:rsidP="00000000" w:rsidRDefault="00000000" w:rsidRPr="00000000" w14:paraId="00000022">
            <w:pPr>
              <w:ind w:left="720" w:right="-27.795275590551682" w:firstLine="0"/>
              <w:jc w:val="both"/>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Roboto" w:cs="Roboto" w:eastAsia="Roboto" w:hAnsi="Roboto"/>
                <w:color w:val="444746"/>
                <w:sz w:val="21"/>
                <w:szCs w:val="21"/>
                <w:highlight w:val="white"/>
                <w:rtl w:val="0"/>
              </w:rPr>
              <w:t xml:space="preserve">Se requiere un módulo para revisión de la respuesta del PQRD, en este módulo el revisor debe poder validar la información asociada a la PQRD, revisar las respuestas, notas, comentarios u observaciones de la PQRD, ver la trazabilidad, días que lleva en gestión, días restantes de la gestión, para esto se requiere:</w:t>
            </w:r>
            <w:r w:rsidDel="00000000" w:rsidR="00000000" w:rsidRPr="00000000">
              <w:rPr>
                <w:rtl w:val="0"/>
              </w:rPr>
            </w:r>
          </w:p>
          <w:p w:rsidR="00000000" w:rsidDel="00000000" w:rsidP="00000000" w:rsidRDefault="00000000" w:rsidRPr="00000000" w14:paraId="00000024">
            <w:pPr>
              <w:jc w:val="both"/>
              <w:rPr>
                <w:rFonts w:ascii="Arial" w:cs="Arial" w:eastAsia="Arial" w:hAnsi="Arial"/>
              </w:rPr>
            </w:pPr>
            <w:r w:rsidDel="00000000" w:rsidR="00000000" w:rsidRPr="00000000">
              <w:rPr>
                <w:rtl w:val="0"/>
              </w:rPr>
            </w:r>
          </w:p>
          <w:p w:rsidR="00000000" w:rsidDel="00000000" w:rsidP="00000000" w:rsidRDefault="00000000" w:rsidRPr="00000000" w14:paraId="00000025">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Posteriormente a que se inicie sesión, el usuario se debe dirigir a la grilla de casos. Al seleccionar la PQRD debe abrir el caso en otra página y mostrar la información del caso.</w:t>
            </w:r>
          </w:p>
          <w:p w:rsidR="00000000" w:rsidDel="00000000" w:rsidP="00000000" w:rsidRDefault="00000000" w:rsidRPr="00000000" w14:paraId="00000026">
            <w:pPr>
              <w:ind w:left="72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363528" cy="2108594"/>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63528" cy="210859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Arial" w:cs="Arial" w:eastAsia="Arial" w:hAnsi="Arial"/>
              </w:rPr>
            </w:pPr>
            <w:r w:rsidDel="00000000" w:rsidR="00000000" w:rsidRPr="00000000">
              <w:rPr>
                <w:rtl w:val="0"/>
              </w:rPr>
            </w:r>
          </w:p>
          <w:p w:rsidR="00000000" w:rsidDel="00000000" w:rsidP="00000000" w:rsidRDefault="00000000" w:rsidRPr="00000000" w14:paraId="00000028">
            <w:pPr>
              <w:numPr>
                <w:ilvl w:val="0"/>
                <w:numId w:val="3"/>
              </w:numPr>
              <w:ind w:left="720" w:hanging="360"/>
              <w:jc w:val="both"/>
              <w:rPr/>
            </w:pPr>
            <w:r w:rsidDel="00000000" w:rsidR="00000000" w:rsidRPr="00000000">
              <w:rPr>
                <w:rFonts w:ascii="Arial" w:cs="Arial" w:eastAsia="Arial" w:hAnsi="Arial"/>
                <w:rtl w:val="0"/>
              </w:rPr>
              <w:t xml:space="preserve">Debe tener la misma pantalla de gestión del caso (Ver HU 13), en la cual se puede visualizar la información de la respuesta, adjuntos, trazabilidad</w:t>
            </w:r>
            <w:r w:rsidDel="00000000" w:rsidR="00000000" w:rsidRPr="00000000">
              <w:rPr>
                <w:rtl w:val="0"/>
              </w:rPr>
              <w:br w:type="textWrapping"/>
              <w:br w:type="textWrapping"/>
            </w:r>
            <w:r w:rsidDel="00000000" w:rsidR="00000000" w:rsidRPr="00000000">
              <w:rPr/>
              <w:drawing>
                <wp:inline distB="114300" distT="114300" distL="114300" distR="114300">
                  <wp:extent cx="5447218" cy="5166784"/>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47218" cy="516678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118.93700787401599"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 tener dos botones en la parte superior que lleven por nombre “Aprobar o rechazar”, de la ventana de gestión del caso para aprobar o rechazar.</w:t>
            </w:r>
          </w:p>
          <w:p w:rsidR="00000000" w:rsidDel="00000000" w:rsidP="00000000" w:rsidRDefault="00000000" w:rsidRPr="00000000" w14:paraId="0000002B">
            <w:pPr>
              <w:ind w:left="0" w:right="118.93700787401599" w:firstLine="0"/>
              <w:jc w:val="center"/>
              <w:rPr/>
            </w:pPr>
            <w:r w:rsidDel="00000000" w:rsidR="00000000" w:rsidRPr="00000000">
              <w:rPr>
                <w:rtl w:val="0"/>
              </w:rPr>
              <w:br w:type="textWrapping"/>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Rechazar :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118.93700787401599"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haga clic en el botón “rechazar”, el caso se debe devolver al mismo gestionador del caso con el estado “Rechazado” </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260.6692913385831"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perfil debe tener la opción de modificar la respuesta y/o poder agregar los comentarios sobre alguna parte específica de la respuesta, es decir en el documentador de la respuesta </w:t>
            </w:r>
          </w:p>
          <w:p w:rsidR="00000000" w:rsidDel="00000000" w:rsidP="00000000" w:rsidRDefault="00000000" w:rsidRPr="00000000" w14:paraId="0000002F">
            <w:pPr>
              <w:ind w:left="720" w:firstLine="0"/>
              <w:rPr/>
            </w:pPr>
            <w:r w:rsidDel="00000000" w:rsidR="00000000" w:rsidRPr="00000000">
              <w:rPr/>
              <w:drawing>
                <wp:inline distB="114300" distT="114300" distL="114300" distR="114300">
                  <wp:extent cx="5450840" cy="3836801"/>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50840" cy="383680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Aprobación: </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376"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haga clic en el botón de “Aprobar” debe pasar al aprobador del área </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376"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 cambiar el estado a “Revisada” y se debe quitar de la bandeja del verificador </w:t>
              <w:br w:type="textWrapping"/>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118.93700787401599"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módulo de revisión debe contener un menú superior para la gestión de caso, las opciones son las siguientes: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260.6692913385831"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Generar respuesta al caso: Pestaña del módulo donde se visualizan las respuestas con posibilidad de edición y /o comentarios.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Asignar: Debe tener la opción para gestionarlo dentro su misma área VER HU (12) </w:t>
            </w:r>
            <w:r w:rsidDel="00000000" w:rsidR="00000000" w:rsidRPr="00000000">
              <w:rPr>
                <w:rtl w:val="0"/>
              </w:rPr>
            </w:r>
          </w:p>
          <w:p w:rsidR="00000000" w:rsidDel="00000000" w:rsidP="00000000" w:rsidRDefault="00000000" w:rsidRPr="00000000" w14:paraId="00000037">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Comentarios:  Funcion HU 16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76v87ji5uru0" w:id="4"/>
            <w:bookmarkEnd w:id="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Incluir al expediente: Función descrita HU 17 </w:t>
            </w:r>
            <w:r w:rsidDel="00000000" w:rsidR="00000000" w:rsidRPr="00000000">
              <w:rPr>
                <w:rtl w:val="0"/>
              </w:rPr>
            </w:r>
          </w:p>
          <w:p w:rsidR="00000000" w:rsidDel="00000000" w:rsidP="00000000" w:rsidRDefault="00000000" w:rsidRPr="00000000" w14:paraId="00000039">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Documentos relacionados: Función descrita HU 18 </w:t>
            </w:r>
          </w:p>
          <w:p w:rsidR="00000000" w:rsidDel="00000000" w:rsidP="00000000" w:rsidRDefault="00000000" w:rsidRPr="00000000" w14:paraId="0000003A">
            <w:pPr>
              <w:numPr>
                <w:ilvl w:val="0"/>
                <w:numId w:val="2"/>
              </w:numPr>
              <w:ind w:left="720" w:hanging="360"/>
              <w:rPr/>
            </w:pPr>
            <w:r w:rsidDel="00000000" w:rsidR="00000000" w:rsidRPr="00000000">
              <w:rPr>
                <w:rFonts w:ascii="Arial" w:cs="Arial" w:eastAsia="Arial" w:hAnsi="Arial"/>
                <w:sz w:val="20"/>
                <w:szCs w:val="20"/>
                <w:rtl w:val="0"/>
              </w:rPr>
              <w:t xml:space="preserve">Enviar a aprobación en el botón “Aprobar”: Cuando se haga clic sobre éste debe preguntar “Esta seguro que desea enviarlo a confirmación” y tener botón SI y NO. Cuando se marque SI se completa y se envía al aprobador. Cuando se marque NO se debe cerrar la ventana</w:t>
              <w:br w:type="textWrapping"/>
            </w:r>
            <w:r w:rsidDel="00000000" w:rsidR="00000000" w:rsidRPr="00000000">
              <w:rPr>
                <w:rtl w:val="0"/>
              </w:rPr>
              <w:br w:type="textWrapping"/>
            </w:r>
            <w:r w:rsidDel="00000000" w:rsidR="00000000" w:rsidRPr="00000000">
              <w:rPr/>
              <w:drawing>
                <wp:inline distB="114300" distT="114300" distL="114300" distR="114300">
                  <wp:extent cx="5520690" cy="4004869"/>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20690" cy="400486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
              </w:numPr>
              <w:ind w:left="720" w:hanging="360"/>
              <w:rPr/>
            </w:pPr>
            <w:r w:rsidDel="00000000" w:rsidR="00000000" w:rsidRPr="00000000">
              <w:rPr>
                <w:rFonts w:ascii="Roboto" w:cs="Roboto" w:eastAsia="Roboto" w:hAnsi="Roboto"/>
                <w:color w:val="444746"/>
                <w:sz w:val="21"/>
                <w:szCs w:val="21"/>
                <w:rtl w:val="0"/>
              </w:rPr>
              <w:t xml:space="preserve">Los casos deben tener un tiempo solo tendrán un solo día de gestión (24 horas calendario) a partir de la asignación.</w:t>
            </w:r>
            <w:r w:rsidDel="00000000" w:rsidR="00000000" w:rsidRPr="00000000">
              <w:rPr>
                <w:rtl w:val="0"/>
              </w:rPr>
            </w:r>
          </w:p>
          <w:p w:rsidR="00000000" w:rsidDel="00000000" w:rsidP="00000000" w:rsidRDefault="00000000" w:rsidRPr="00000000" w14:paraId="0000003D">
            <w:pPr>
              <w:numPr>
                <w:ilvl w:val="0"/>
                <w:numId w:val="3"/>
              </w:numPr>
              <w:ind w:left="720" w:hanging="360"/>
              <w:rPr/>
            </w:pPr>
            <w:r w:rsidDel="00000000" w:rsidR="00000000" w:rsidRPr="00000000">
              <w:rPr>
                <w:rFonts w:ascii="Roboto" w:cs="Roboto" w:eastAsia="Roboto" w:hAnsi="Roboto"/>
                <w:color w:val="444746"/>
                <w:sz w:val="21"/>
                <w:szCs w:val="21"/>
                <w:rtl w:val="0"/>
              </w:rPr>
              <w:t xml:space="preserve">Sólo se pueden asignar para revisión hasta el octavo día de vencimiento, cuando el tiempo de asignación sea de 10 días hábiles. Para clonación sólo se podrá asignar para revisión hasta el día sexto de vencimiento.Para PQRD express sólo se podrá asignar para revisión hasta el día cuarto de vencimiento.</w:t>
            </w: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r w:rsidDel="00000000" w:rsidR="00000000" w:rsidRPr="00000000">
              <w:rPr>
                <w:rFonts w:ascii="Roboto" w:cs="Roboto" w:eastAsia="Roboto" w:hAnsi="Roboto"/>
                <w:color w:val="444746"/>
                <w:sz w:val="21"/>
                <w:szCs w:val="21"/>
                <w:rtl w:val="0"/>
              </w:rPr>
              <w:t xml:space="preserve">Cuando el caso sea enviado a revisión, debe generar notificación por el aplicativo, y vía correo electrónico, de asignación en la herramienta para que de esta manera el revisor sepa que debe gestionar el caso.</w:t>
            </w:r>
            <w:r w:rsidDel="00000000" w:rsidR="00000000" w:rsidRPr="00000000">
              <w:rPr>
                <w:rtl w:val="0"/>
              </w:rPr>
            </w:r>
          </w:p>
          <w:p w:rsidR="00000000" w:rsidDel="00000000" w:rsidP="00000000" w:rsidRDefault="00000000" w:rsidRPr="00000000" w14:paraId="0000003F">
            <w:pPr>
              <w:numPr>
                <w:ilvl w:val="0"/>
                <w:numId w:val="3"/>
              </w:numPr>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En caso de querer asignar un trámite con un dia antes de finalizar el plazo, deberá generar un mensaje emergente “El caso no puede ser enviado a revisión, debido a que superó los tiempos estipulados”.</w:t>
            </w:r>
            <w:r w:rsidDel="00000000" w:rsidR="00000000" w:rsidRPr="00000000">
              <w:rPr>
                <w:rtl w:val="0"/>
              </w:rPr>
            </w:r>
          </w:p>
          <w:p w:rsidR="00000000" w:rsidDel="00000000" w:rsidP="00000000" w:rsidRDefault="00000000" w:rsidRPr="00000000" w14:paraId="00000040">
            <w:pPr>
              <w:numPr>
                <w:ilvl w:val="0"/>
                <w:numId w:val="3"/>
              </w:numPr>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En el caso que el revisor no gestione en los tiempos determinados, de manera automática el sistema deberá asignarlo al gestionador, dejándolo en la trazabilidad con el detalle  y en una columna de estado automático “No revisado”.</w:t>
            </w:r>
            <w:r w:rsidDel="00000000" w:rsidR="00000000" w:rsidRPr="00000000">
              <w:rPr>
                <w:rtl w:val="0"/>
              </w:rPr>
            </w:r>
          </w:p>
          <w:p w:rsidR="00000000" w:rsidDel="00000000" w:rsidP="00000000" w:rsidRDefault="00000000" w:rsidRPr="00000000" w14:paraId="00000041">
            <w:pPr>
              <w:numPr>
                <w:ilvl w:val="0"/>
                <w:numId w:val="3"/>
              </w:numPr>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Cuando el revisor haya revisado en los tiempos acordados, al gestionador se le mostrará en la columna de estado como “Revisado”.</w:t>
            </w:r>
            <w:r w:rsidDel="00000000" w:rsidR="00000000" w:rsidRPr="00000000">
              <w:rPr>
                <w:rtl w:val="0"/>
              </w:rPr>
            </w:r>
          </w:p>
          <w:p w:rsidR="00000000" w:rsidDel="00000000" w:rsidP="00000000" w:rsidRDefault="00000000" w:rsidRPr="00000000" w14:paraId="00000042">
            <w:pPr>
              <w:numPr>
                <w:ilvl w:val="0"/>
                <w:numId w:val="3"/>
              </w:numPr>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El revisor cuando avale la revisión, tendrá opción de asignarlo nuevamente al gestionador del trámite o enviarlo a aprobación, seleccionando a uno de los aprobadores habilitados en el aplicativo.(Esta regla no aplica para los trámites clonados).</w:t>
            </w:r>
            <w:r w:rsidDel="00000000" w:rsidR="00000000" w:rsidRPr="00000000">
              <w:rPr>
                <w:rtl w:val="0"/>
              </w:rPr>
            </w:r>
          </w:p>
          <w:p w:rsidR="00000000" w:rsidDel="00000000" w:rsidP="00000000" w:rsidRDefault="00000000" w:rsidRPr="00000000" w14:paraId="00000043">
            <w:pPr>
              <w:numPr>
                <w:ilvl w:val="0"/>
                <w:numId w:val="3"/>
              </w:numPr>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Para los trámites clonados, cuando el revisor avale le llegará el trámite al consolidador del caso.</w:t>
            </w:r>
            <w:r w:rsidDel="00000000" w:rsidR="00000000" w:rsidRPr="00000000">
              <w:rPr>
                <w:rtl w:val="0"/>
              </w:rPr>
            </w:r>
          </w:p>
          <w:p w:rsidR="00000000" w:rsidDel="00000000" w:rsidP="00000000" w:rsidRDefault="00000000" w:rsidRPr="00000000" w14:paraId="00000044">
            <w:pPr>
              <w:numPr>
                <w:ilvl w:val="0"/>
                <w:numId w:val="3"/>
              </w:numPr>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El gestionador debe tener una opción de cambiar el revisor o cancelar la revisión en los tiempos acordados.</w:t>
            </w:r>
            <w:r w:rsidDel="00000000" w:rsidR="00000000" w:rsidRPr="00000000">
              <w:rPr>
                <w:rtl w:val="0"/>
              </w:rPr>
            </w:r>
          </w:p>
          <w:p w:rsidR="00000000" w:rsidDel="00000000" w:rsidP="00000000" w:rsidRDefault="00000000" w:rsidRPr="00000000" w14:paraId="00000045">
            <w:pPr>
              <w:ind w:right="-376"/>
              <w:rPr>
                <w:rFonts w:ascii="Arial" w:cs="Arial" w:eastAsia="Arial" w:hAnsi="Arial"/>
                <w:color w:val="2f5496"/>
                <w:sz w:val="20"/>
                <w:szCs w:val="20"/>
              </w:rPr>
            </w:pP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Reglas de negocio del requerimiento </w:t>
      </w:r>
    </w:p>
    <w:tbl>
      <w:tblPr>
        <w:tblStyle w:val="Table5"/>
        <w:tblW w:w="94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50"/>
        <w:gridCol w:w="4830"/>
        <w:tblGridChange w:id="0">
          <w:tblGrid>
            <w:gridCol w:w="4650"/>
            <w:gridCol w:w="4830"/>
          </w:tblGrid>
        </w:tblGridChange>
      </w:tblGrid>
      <w:tr>
        <w:trPr>
          <w:cantSplit w:val="0"/>
          <w:trHeight w:val="408" w:hRule="atLeast"/>
          <w:tblHeader w:val="0"/>
        </w:trPr>
        <w:tc>
          <w:tcPr>
            <w:shd w:fill="1f3864"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Regla de negocio </w:t>
            </w:r>
          </w:p>
        </w:tc>
        <w:tc>
          <w:tcPr>
            <w:shd w:fill="1f3864"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Descripción</w:t>
            </w:r>
          </w:p>
        </w:tc>
      </w:tr>
      <w:tr>
        <w:trPr>
          <w:cantSplit w:val="0"/>
          <w:trHeight w:val="408" w:hRule="atLeast"/>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82.7559055118109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Rechazar </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82.75590551181097"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e7uq4zysgoil" w:id="5"/>
            <w:bookmarkEnd w:id="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rechace la PQR debe volver a la bandeja del gestionador </w:t>
            </w:r>
          </w:p>
        </w:tc>
      </w:tr>
      <w:tr>
        <w:trPr>
          <w:cantSplit w:val="0"/>
          <w:trHeight w:val="408" w:hRule="atLeast"/>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Aprobar </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xs57c4pogx6" w:id="6"/>
            <w:bookmarkEnd w:id="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Cuandos se apruebe la PQR debe pasar a la bandeja del aprobador </w:t>
            </w:r>
          </w:p>
        </w:tc>
      </w:tr>
      <w:tr>
        <w:trPr>
          <w:cantSplit w:val="0"/>
          <w:trHeight w:val="408" w:hRule="atLeast"/>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Tiempo de revisor</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57.16535433070930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Únicamente se puede enviar a revisión hasta el octavo día hábil de la gestión </w:t>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tbl>
      <w:tblPr>
        <w:tblStyle w:val="Table6"/>
        <w:tblW w:w="9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0"/>
        <w:tblGridChange w:id="0">
          <w:tblGrid>
            <w:gridCol w:w="9510"/>
          </w:tblGrid>
        </w:tblGridChange>
      </w:tblGrid>
      <w:tr>
        <w:trPr>
          <w:cantSplit w:val="0"/>
          <w:trHeight w:val="642" w:hRule="atLeast"/>
          <w:tblHeader w:val="0"/>
        </w:trPr>
        <w:tc>
          <w:tcPr>
            <w:shd w:fill="1f3864" w:val="clear"/>
          </w:tcPr>
          <w:p w:rsidR="00000000" w:rsidDel="00000000" w:rsidP="00000000" w:rsidRDefault="00000000" w:rsidRPr="00000000" w14:paraId="00000052">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Criterios de aceptación</w:t>
            </w:r>
          </w:p>
        </w:tc>
      </w:tr>
      <w:tr>
        <w:trPr>
          <w:cantSplit w:val="0"/>
          <w:trHeight w:val="642" w:hRule="atLeast"/>
          <w:tblHeader w:val="0"/>
        </w:trPr>
        <w:tc>
          <w:tcPr/>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Cambia de estado de manera correcta</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Devolver el caso al gestionador que </w:t>
            </w:r>
            <w:r w:rsidDel="00000000" w:rsidR="00000000" w:rsidRPr="00000000">
              <w:rPr>
                <w:rFonts w:ascii="Arial" w:cs="Arial" w:eastAsia="Arial" w:hAnsi="Arial"/>
                <w:sz w:val="20"/>
                <w:szCs w:val="20"/>
                <w:rtl w:val="0"/>
              </w:rPr>
              <w:t xml:space="preserve">generó</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respuesta</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Pasar al aprobador de manera correcta</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 toda la información del caso </w:t>
            </w:r>
            <w:r w:rsidDel="00000000" w:rsidR="00000000" w:rsidRPr="00000000">
              <w:rPr>
                <w:rtl w:val="0"/>
              </w:rPr>
            </w:r>
          </w:p>
        </w:tc>
      </w:tr>
    </w:tbl>
    <w:p w:rsidR="00000000" w:rsidDel="00000000" w:rsidP="00000000" w:rsidRDefault="00000000" w:rsidRPr="00000000" w14:paraId="00000057">
      <w:pPr>
        <w:spacing w:after="0" w:lineRule="auto"/>
        <w:ind w:right="-376"/>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spacing w:after="0" w:line="240" w:lineRule="auto"/>
        <w:rPr>
          <w:rFonts w:ascii="Arial" w:cs="Arial" w:eastAsia="Arial" w:hAnsi="Arial"/>
          <w:b w:val="1"/>
          <w:color w:val="365f91"/>
          <w:sz w:val="20"/>
          <w:szCs w:val="20"/>
        </w:rPr>
      </w:pPr>
      <w:r w:rsidDel="00000000" w:rsidR="00000000" w:rsidRPr="00000000">
        <w:rPr>
          <w:rtl w:val="0"/>
        </w:rPr>
      </w:r>
    </w:p>
    <w:p w:rsidR="00000000" w:rsidDel="00000000" w:rsidP="00000000" w:rsidRDefault="00000000" w:rsidRPr="00000000" w14:paraId="00000059">
      <w:pPr>
        <w:spacing w:after="0" w:line="240" w:lineRule="auto"/>
        <w:rPr>
          <w:rFonts w:ascii="Arial" w:cs="Arial" w:eastAsia="Arial" w:hAnsi="Arial"/>
          <w:b w:val="1"/>
          <w:color w:val="365f91"/>
          <w:sz w:val="20"/>
          <w:szCs w:val="20"/>
        </w:rPr>
      </w:pPr>
      <w:r w:rsidDel="00000000" w:rsidR="00000000" w:rsidRPr="00000000">
        <w:rPr>
          <w:rFonts w:ascii="Arial" w:cs="Arial" w:eastAsia="Arial" w:hAnsi="Arial"/>
          <w:b w:val="1"/>
          <w:color w:val="365f91"/>
          <w:sz w:val="20"/>
          <w:szCs w:val="20"/>
          <w:rtl w:val="0"/>
        </w:rPr>
        <w:t xml:space="preserve">Aprobaciones de los usuarios funcionales</w:t>
      </w:r>
    </w:p>
    <w:p w:rsidR="00000000" w:rsidDel="00000000" w:rsidP="00000000" w:rsidRDefault="00000000" w:rsidRPr="00000000" w14:paraId="0000005A">
      <w:pPr>
        <w:spacing w:after="0" w:line="240" w:lineRule="auto"/>
        <w:rPr>
          <w:rFonts w:ascii="Arial" w:cs="Arial" w:eastAsia="Arial" w:hAnsi="Arial"/>
          <w:b w:val="1"/>
          <w:sz w:val="20"/>
          <w:szCs w:val="20"/>
        </w:rPr>
      </w:pPr>
      <w:r w:rsidDel="00000000" w:rsidR="00000000" w:rsidRPr="00000000">
        <w:rPr>
          <w:rtl w:val="0"/>
        </w:rPr>
      </w:r>
    </w:p>
    <w:tbl>
      <w:tblPr>
        <w:tblStyle w:val="Table7"/>
        <w:tblW w:w="94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
        <w:gridCol w:w="2256"/>
        <w:gridCol w:w="2257"/>
        <w:gridCol w:w="2719"/>
        <w:tblGridChange w:id="0">
          <w:tblGrid>
            <w:gridCol w:w="2256"/>
            <w:gridCol w:w="2256"/>
            <w:gridCol w:w="2257"/>
            <w:gridCol w:w="27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quien aprueba</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Cargo/Rol de quien aprueba</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de quien aprueba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sectPr>
      <w:headerReference r:id="rId11"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8"/>
      <w:tblW w:w="9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4600"/>
      <w:gridCol w:w="2220"/>
      <w:tblGridChange w:id="0">
        <w:tblGrid>
          <w:gridCol w:w="2660"/>
          <w:gridCol w:w="4600"/>
          <w:gridCol w:w="2220"/>
        </w:tblGrid>
      </w:tblGridChange>
    </w:tblGrid>
    <w:tr>
      <w:trPr>
        <w:cantSplit w:val="0"/>
        <w:trHeight w:val="450" w:hRule="atLeast"/>
        <w:tblHeader w:val="0"/>
      </w:trPr>
      <w:tc>
        <w:tcPr>
          <w:vMerge w:val="restart"/>
        </w:tcPr>
        <w:p w:rsidR="00000000" w:rsidDel="00000000" w:rsidP="00000000" w:rsidRDefault="00000000" w:rsidRPr="00000000" w14:paraId="0000006D">
          <w:pPr>
            <w:tabs>
              <w:tab w:val="center" w:leader="none" w:pos="4419"/>
              <w:tab w:val="right" w:leader="none" w:pos="8838"/>
            </w:tabs>
            <w:spacing w:after="0" w:line="24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Pr>
            <w:drawing>
              <wp:inline distB="114300" distT="114300" distL="114300" distR="114300">
                <wp:extent cx="1400175" cy="828675"/>
                <wp:effectExtent b="0" l="0" r="0" t="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00175" cy="8286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Proceso PQR</w:t>
          </w:r>
          <w:r w:rsidDel="00000000" w:rsidR="00000000" w:rsidRPr="00000000">
            <w:rPr>
              <w:rFonts w:ascii="Arial" w:cs="Arial" w:eastAsia="Arial" w:hAnsi="Arial"/>
              <w:b w:val="1"/>
              <w:sz w:val="16"/>
              <w:szCs w:val="16"/>
              <w:rtl w:val="0"/>
            </w:rPr>
            <w:t xml:space="preserve">D</w:t>
          </w:r>
          <w:r w:rsidDel="00000000" w:rsidR="00000000" w:rsidRPr="00000000">
            <w:rPr>
              <w:rtl w:val="0"/>
            </w:rPr>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del Documento</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xxx-xx-xx-xx</w:t>
          </w:r>
        </w:p>
      </w:tc>
    </w:tr>
    <w:tr>
      <w:trPr>
        <w:cantSplit w:val="0"/>
        <w:trHeight w:val="450" w:hRule="atLeast"/>
        <w:tblHeader w:val="0"/>
      </w:trPr>
      <w:tc>
        <w:tcPr>
          <w:vMerge w:val="continue"/>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Formato de Requerimientos</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No. 001</w:t>
          </w:r>
        </w:p>
      </w:tc>
    </w:tr>
    <w:tr>
      <w:trPr>
        <w:cantSplit w:val="0"/>
        <w:trHeight w:val="450" w:hRule="atLeast"/>
        <w:tblHeader w:val="0"/>
      </w:trPr>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Código del proyecto</w:t>
          </w: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12-04-2023</w:t>
          </w:r>
        </w:p>
      </w:tc>
    </w:tr>
  </w:tb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3EF7"/>
    <w:rPr>
      <w:rFonts w:ascii="Calibri" w:cs="Calibri" w:eastAsia="Calibri" w:hAnsi="Calibri"/>
      <w:lang w:eastAsia="es-MX" w:val="es-ES"/>
    </w:rPr>
  </w:style>
  <w:style w:type="paragraph" w:styleId="Ttulo1">
    <w:name w:val="heading 1"/>
    <w:basedOn w:val="Normal"/>
    <w:link w:val="Ttulo1Car"/>
    <w:uiPriority w:val="99"/>
    <w:qFormat w:val="1"/>
    <w:rsid w:val="002552E8"/>
    <w:pPr>
      <w:spacing w:after="100" w:afterAutospacing="1" w:before="100" w:beforeAutospacing="1" w:line="240" w:lineRule="auto"/>
      <w:outlineLvl w:val="0"/>
    </w:pPr>
    <w:rPr>
      <w:rFonts w:ascii="Arial" w:cs="Arial" w:eastAsia="Times New Roman" w:hAnsi="Arial"/>
      <w:b w:val="1"/>
      <w:bCs w:val="1"/>
      <w:color w:val="365f91"/>
      <w:kern w:val="36"/>
      <w:sz w:val="32"/>
      <w:szCs w:val="32"/>
      <w:lang w:val="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A33EF7"/>
    <w:rPr>
      <w:b w:val="1"/>
      <w:bCs w:val="1"/>
    </w:rPr>
  </w:style>
  <w:style w:type="paragraph" w:styleId="Encabezado">
    <w:name w:val="header"/>
    <w:basedOn w:val="Normal"/>
    <w:link w:val="EncabezadoCar"/>
    <w:uiPriority w:val="99"/>
    <w:unhideWhenUsed w:val="1"/>
    <w:rsid w:val="0053693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36936"/>
    <w:rPr>
      <w:rFonts w:ascii="Calibri" w:cs="Calibri" w:eastAsia="Calibri" w:hAnsi="Calibri"/>
      <w:lang w:eastAsia="es-MX" w:val="es-ES"/>
    </w:rPr>
  </w:style>
  <w:style w:type="paragraph" w:styleId="Piedepgina">
    <w:name w:val="footer"/>
    <w:basedOn w:val="Normal"/>
    <w:link w:val="PiedepginaCar"/>
    <w:uiPriority w:val="99"/>
    <w:unhideWhenUsed w:val="1"/>
    <w:rsid w:val="0053693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36936"/>
    <w:rPr>
      <w:rFonts w:ascii="Calibri" w:cs="Calibri" w:eastAsia="Calibri" w:hAnsi="Calibri"/>
      <w:lang w:eastAsia="es-MX" w:val="es-ES"/>
    </w:rPr>
  </w:style>
  <w:style w:type="character" w:styleId="Ttulo1Car" w:customStyle="1">
    <w:name w:val="Título 1 Car"/>
    <w:basedOn w:val="Fuentedeprrafopredeter"/>
    <w:link w:val="Ttulo1"/>
    <w:uiPriority w:val="99"/>
    <w:rsid w:val="002552E8"/>
    <w:rPr>
      <w:rFonts w:ascii="Arial" w:cs="Arial" w:eastAsia="Times New Roman" w:hAnsi="Arial"/>
      <w:b w:val="1"/>
      <w:bCs w:val="1"/>
      <w:color w:val="365f91"/>
      <w:kern w:val="36"/>
      <w:sz w:val="32"/>
      <w:szCs w:val="32"/>
      <w:lang w:eastAsia="es-MX"/>
    </w:rPr>
  </w:style>
  <w:style w:type="table" w:styleId="Tablaconcuadrcula">
    <w:name w:val="Table Grid"/>
    <w:basedOn w:val="Tablanormal"/>
    <w:uiPriority w:val="39"/>
    <w:rsid w:val="002552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basedOn w:val="Normal"/>
    <w:uiPriority w:val="99"/>
    <w:qFormat w:val="1"/>
    <w:rsid w:val="0005045E"/>
    <w:pPr>
      <w:spacing w:after="0" w:line="240" w:lineRule="auto"/>
    </w:pPr>
    <w:rPr>
      <w:rFonts w:ascii="Arial" w:cs="Arial" w:eastAsia="Times New Roman" w:hAnsi="Arial"/>
      <w:sz w:val="24"/>
      <w:szCs w:val="24"/>
      <w:lang w:val="es-MX"/>
    </w:rPr>
  </w:style>
  <w:style w:type="paragraph" w:styleId="NormalWeb">
    <w:name w:val="Normal (Web)"/>
    <w:basedOn w:val="Normal"/>
    <w:uiPriority w:val="99"/>
    <w:unhideWhenUsed w:val="1"/>
    <w:rsid w:val="0005045E"/>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Prrafodelista">
    <w:name w:val="List Paragraph"/>
    <w:basedOn w:val="Normal"/>
    <w:uiPriority w:val="34"/>
    <w:qFormat w:val="1"/>
    <w:rsid w:val="00EB6C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lN7CS9V8bbXFT9bfOT2sUsyLJw==">CgMxLjAyDmguMnNkenpqdWp1eWFiMg5oLng1azYwZGthNzM5ZjIOaC5qcmI0MDlzOGExMTEyDmguNDc1ZXZ5cTVzcTRlMg5oLjc2djg3amk1dXJ1MDIOaC5lN3VxNHp5c2dvaWwyDmguMnhzNTdjNHBvZ3g2OAByITFRN3F4VFEzVXZEMGV4bmFnajdPcklaaFhmREF6bFRfUw==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2023-04-17T02:27:00Z</dcterms:created>
  <dc:creator>335 SED</dc:creator>
</cp:coreProperties>
</file>