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HU17_SGDA_Incluir_Expedientes_a_TRD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5"/>
        <w:gridCol w:w="5085"/>
        <w:tblGridChange w:id="0">
          <w:tblGrid>
            <w:gridCol w:w="3915"/>
            <w:gridCol w:w="50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vez se carguen los documentos y/o se emita una respuesta de la PQRD se deberá registrar ciertos datos sensibles dentro del sistema de gestión documental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Cómo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Gestionador - Responsable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Incluir documentos al expediente del sistema de gestión documental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y organización de los documentos que intervienen dentro de la gestión de un trámite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incluir información de la PQRD en la TRD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Dentro de su  bandeja de entrada se visualizará las PQRD reportadas como para su gestión: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62563" cy="327259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27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el responsable de la PQRD ingrese a la gestión del caso, debe dar clic en el botón "Incluir expediente"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136065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47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6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hacer clic en esta opción se abrirá una ventana en la cual debe </w:t>
      </w:r>
      <w:r w:rsidDel="00000000" w:rsidR="00000000" w:rsidRPr="00000000">
        <w:rPr>
          <w:rFonts w:ascii="Arial" w:cs="Arial" w:eastAsia="Arial" w:hAnsi="Arial"/>
          <w:rtl w:val="0"/>
        </w:rPr>
        <w:t xml:space="preserve">precargar el campo oficina según corresponda su usuario</w:t>
      </w:r>
      <w:r w:rsidDel="00000000" w:rsidR="00000000" w:rsidRPr="00000000">
        <w:rPr>
          <w:rFonts w:ascii="Arial" w:cs="Arial" w:eastAsia="Arial" w:hAnsi="Arial"/>
          <w:rtl w:val="0"/>
        </w:rPr>
        <w:t xml:space="preserve">, de igual manera deberá permitir seleccionar los campos Serie, Subserie, Tipo documental y Expediente, al cual corresponde el documento que está gestionando.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149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Oficina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acuerdo al usuario que inicie sesión deberá mostrar la oficina a la que corresponda.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enlistar las opciones que se definieron en las TRD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Subseries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documental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Expedientes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deberá mostrar las opciones: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Seleccionar Expediente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Expediente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Ver anexos: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APO_13_2_OD04 Tablas de Control de Acceso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APO_13_2_OD02 Tablas de Retencion Documental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rtl w:val="0"/>
        </w:rPr>
        <w:t xml:space="preserve">: a) Debe desplegar cada una de las opciones y seleccionar el dato correspondiente, teniendo en cuenta las TRD (Tablas de retención documental)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Si el trámite  es PQRD, este no se activará hasta que se genera el radicado de Salida.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Si es otro trámite o el subproceso no tiene tiempo asignado, al incluir al expediente este quedará archivado en el expediente seleccionado.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campo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Expedientes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” el sistema le mostrará dos opciones,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seleccionar un expediente ya existente.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expediente.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asociar el documento a un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expediente ya creado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el gestor, se deberá buscar el </w:t>
      </w:r>
      <w:r w:rsidDel="00000000" w:rsidR="00000000" w:rsidRPr="00000000">
        <w:rPr>
          <w:rFonts w:ascii="Arial" w:cs="Arial" w:eastAsia="Arial" w:hAnsi="Arial"/>
          <w:rtl w:val="0"/>
        </w:rPr>
        <w:t xml:space="preserve">expediente ya precargado en la 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permitiendo realizar una búsqueda ingresando al menos tres letras del título del expediente, luego selecciónelo.</w:t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75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arrastrará la información de dicho expediente, se visualizarán los campos adicionales los cuales deberán ser validados para garantizar que sea el expediente correcto y luego de clic en el botón Incluir a expediente.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670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desplegable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0-1500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 la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creación de un expediente nuevo</w:t>
      </w:r>
      <w:r w:rsidDel="00000000" w:rsidR="00000000" w:rsidRPr="00000000">
        <w:rPr>
          <w:rFonts w:ascii="Arial" w:cs="Arial" w:eastAsia="Arial" w:hAnsi="Arial"/>
          <w:rtl w:val="0"/>
        </w:rPr>
        <w:t xml:space="preserve">, debe desplegar las opciones del campo “Expediente”  y dar click en la opción “Crear expediente e incluir radicado”.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454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habilitarán los campos de Título expediente (nombre de persona o empresa), Código de identificación (número de documento de identificación),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Responsable del expediente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Nivel de acceso y Observación, debe diligenciar la información y luego de click en el botón “incluir al Expediente”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del expediente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desplegable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se tenga la información se deberá generar un mensaje popup “Proceso exitoso” con el botón “Guardar”</w:t>
      </w:r>
    </w:p>
    <w:p w:rsidR="00000000" w:rsidDel="00000000" w:rsidP="00000000" w:rsidRDefault="00000000" w:rsidRPr="00000000" w14:paraId="00000090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467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715"/>
        <w:tblGridChange w:id="0">
          <w:tblGrid>
            <w:gridCol w:w="3120"/>
            <w:gridCol w:w="5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Regla de negocio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Oficina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estar precargada la oficina/ área a la cual corresponda el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series y/o Subseries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308.93554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tipo documental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Expedientes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mostrar las opciones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Seleccionar Expediente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Expediente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 de las tablas de retención documental por PQRD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trámite  es PQRD, este no se activará hasta que se genera el radicado de Salida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 de las tablas de retención documental diferente a PQRD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otro trámite o el subproceso no tiene tiempo asignado, al incluir al expediente este quedará archivado en el expediente seleccionado.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Opción “Expediente ya creado” (Dentro del campo expedientes)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gestor debe buscar el expediente ingresando al menos tres letras del título del expediente.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seleccionado el gestor deberá traer la información de dicho expediente y precargar los campos: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Opción  ”Creación de un expediente nuevo” (Dentro del campo expedientes)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seleccione esta opción, el gestor deberá visualizar los campos: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expediente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PopUP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tenga la información se deberá generar un mensaje popup “Proceso exitoso” con el botón “Cerrar”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B9">
            <w:pPr>
              <w:ind w:right="-376"/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estar precargada la oficina/ área a la cual corresponda el usuario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 debe mostrar las opciones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campo expediente debe mostrar las dos opciones  (seleccionar expediente y crear expediente)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trámite  es PQRD, este no se activará hasta que se genera el radicado de Salida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otro trámite o el subproceso no tiene tiempo asignado, al incluir al expediente este quedará archivado en el expediente seleccionado.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gestor debe buscar el expediente ingresando al menos tres letras del título del expediente. Una vez seleccionado el gestor deberá traer la información de dicho expediente y precargar los campos (Código de identificación, Responsable del expediente, Nivel de acceso y Observaciones)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seleccione esta opción, el gestor deberá visualizar los campos (Título expediente, Código de identificación, Responsable del expediente y Nivel de acceso)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tenga la información se deberá generar un mensaje popup “Proceso exitoso” con el botón “Cerrar”</w:t>
            </w:r>
          </w:p>
          <w:p w:rsidR="00000000" w:rsidDel="00000000" w:rsidP="00000000" w:rsidRDefault="00000000" w:rsidRPr="00000000" w14:paraId="000000C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Rule="auto"/>
        <w:ind w:right="-37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grid Lilian Martínez Marroquín" w:id="0" w:date="2023-06-06T16:39:58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 positiva</w:t>
      </w:r>
    </w:p>
  </w:comment>
  <w:comment w:author="Ingrid Lilian Martínez Marroquín" w:id="1" w:date="2023-06-06T16:39:58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 positiva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3" w15:done="0"/>
  <w15:commentEx w15:paraId="000000E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0"/>
      <w:tblW w:w="946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40"/>
      <w:gridCol w:w="4605"/>
      <w:gridCol w:w="2220"/>
      <w:tblGridChange w:id="0">
        <w:tblGrid>
          <w:gridCol w:w="2640"/>
          <w:gridCol w:w="4605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D8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9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rFonts w:ascii="Calibri" w:cs="Calibri" w:eastAsia="Calibri" w:hAnsi="Calibri"/>
      <w:lang w:eastAsia="es-MX" w:val="es-ES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yperlink" Target="https://docs.google.com/spreadsheets/d/1d-D7ajlKXg4VkgrazfTlfe-XcCPcrAzH/edit#gid=436255555" TargetMode="External"/><Relationship Id="rId12" Type="http://schemas.openxmlformats.org/officeDocument/2006/relationships/hyperlink" Target="https://docs.google.com/spreadsheets/d/1iP64plDM-3_HG-XfGE-rKR4KLc3wcUaS/edit#gid=1701881208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JTbgKctKGaGPnpDiQm87Nz/gQ==">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2023-03-29T16:46:00Z</dcterms:created>
  <dc:creator>335 SED</dc:creator>
</cp:coreProperties>
</file>