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from Docx</w:t>
      </w:r>
    </w:p>
    <w:p>
      <w:r>
        <w:t xml:space="preserve">A plain paragraph having some </w:t>
      </w:r>
      <w:r>
        <w:rPr>
          <w:b/>
        </w:rPr>
        <w:t>bold words</w:t>
      </w:r>
      <w:r>
        <w:rPr>
          <w:i/>
        </w:rPr>
        <w:t xml:space="preserve"> and italics.</w:t>
      </w:r>
    </w:p>
    <w:p>
      <w:pPr>
        <w:pStyle w:val="Heading1"/>
      </w:pPr>
      <w:r>
        <w:t>Lets talk about Python language</w:t>
      </w:r>
    </w:p>
    <w:p>
      <w:pPr>
        <w:pStyle w:val="ListBullet"/>
      </w:pPr>
      <w:r>
        <w:t>First lets see the Python logo</w:t>
      </w:r>
    </w:p>
    <w:p>
      <w:r>
        <w:drawing>
          <wp:inline xmlns:a="http://schemas.openxmlformats.org/drawingml/2006/main" xmlns:pic="http://schemas.openxmlformats.org/drawingml/2006/picture">
            <wp:extent cx="11430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Items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apple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