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Calibri" w:cs="Calibri" w:eastAsia="Calibri" w:hAnsi="Calibri"/>
          <w:b/>
          <w:bCs/>
          <w:color w:val="0D1B3E"/>
          <w:sz w:val="56"/>
          <w:szCs w:val="56"/>
        </w:rPr>
        <w:t xml:space="preserve">Document Comparison Tool</w:t>
      </w:r>
    </w:p>
    <w:p>
      <w:pPr>
        <w:spacing w:before="0" w:after="80"/>
      </w:pPr>
      <w:r>
        <w:rPr>
          <w:rFonts w:ascii="Calibri" w:cs="Calibri" w:eastAsia="Calibri" w:hAnsi="Calibri"/>
          <w:color w:val="0A7EA4"/>
          <w:sz w:val="30"/>
          <w:szCs w:val="30"/>
        </w:rPr>
        <w:t xml:space="preserve">Architecture &amp; Design Write-Up</w:t>
      </w:r>
    </w:p>
    <w:p>
      <w:pPr>
        <w:spacing w:before="0" w:after="600"/>
      </w:pPr>
      <w:r>
        <w:rPr>
          <w:rFonts w:ascii="Calibri" w:cs="Calibri" w:eastAsia="Calibri" w:hAnsi="Calibri"/>
          <w:i/>
          <w:iCs/>
          <w:color w:val="94A3B8"/>
          <w:sz w:val="20"/>
          <w:szCs w:val="20"/>
        </w:rPr>
        <w:t xml:space="preserve">Full-Context · No-RAG · PyMuPDF · Pydantic v2 · OpenAI-Compatible Client</w:t>
      </w:r>
    </w:p>
    <w:p>
      <w:pPr>
        <w:pStyle w:val="Heading1"/>
        <w:spacing w:before="400" w:after="160"/>
      </w:pPr>
      <w:r>
        <w:rPr>
          <w:rFonts w:ascii="Calibri" w:cs="Calibri" w:eastAsia="Calibri" w:hAnsi="Calibri"/>
          <w:b/>
          <w:bCs/>
          <w:color w:val="0D1B3E"/>
          <w:sz w:val="36"/>
          <w:szCs w:val="36"/>
        </w:rPr>
        <w:t xml:space="preserve">1. Executive Summary</w:t>
      </w:r>
    </w:p>
    <w:p>
      <w:pPr>
        <w:spacing w:before="60" w:after="120" w:line="320"/>
      </w:pPr>
      <w:r>
        <w:rPr>
          <w:rFonts w:ascii="Calibri" w:cs="Calibri" w:eastAsia="Calibri" w:hAnsi="Calibri"/>
          <w:color w:val="0D1B3E"/>
          <w:sz w:val="22"/>
          <w:szCs w:val="22"/>
        </w:rPr>
        <w:t xml:space="preserve">This tool performs automated, clause-by-clause comparison between a base contract PDF and a Word-format letter of offer. It extracts both documents in full, constructs a single structured prompt, and issues one LLM call — returning a validated, structured list of material deviations including clauses that are present in one document but entirely absent from the other.</w:t>
      </w:r>
    </w:p>
    <w:p>
      <w:r>
        <w:t xml:space="preserve"/>
      </w:r>
    </w:p>
    <w:p>
      <w:pPr>
        <w:spacing w:before="60" w:after="120" w:line="320"/>
      </w:pPr>
      <w:r>
        <w:rPr>
          <w:rFonts w:ascii="Calibri" w:cs="Calibri" w:eastAsia="Calibri" w:hAnsi="Calibri"/>
          <w:color w:val="0D1B3E"/>
          <w:sz w:val="22"/>
          <w:szCs w:val="22"/>
        </w:rPr>
        <w:t xml:space="preserve">The design deliberately avoids a Retrieval-Augmented Generation (RAG) architecture. Instead, it exploits the large context window of modern 120B-class models to reason over both documents simultaneously, giving the model bilateral clause awareness that chunk-based retrieval fundamentally cannot provide.</w:t>
      </w:r>
    </w:p>
    <w:p>
      <w:r>
        <w:t xml:space="preserve"/>
      </w:r>
    </w:p>
    <w:p>
      <w:pPr>
        <w:pStyle w:val="Heading1"/>
        <w:spacing w:before="400" w:after="160"/>
      </w:pPr>
      <w:r>
        <w:rPr>
          <w:rFonts w:ascii="Calibri" w:cs="Calibri" w:eastAsia="Calibri" w:hAnsi="Calibri"/>
          <w:b/>
          <w:bCs/>
          <w:color w:val="0D1B3E"/>
          <w:sz w:val="36"/>
          <w:szCs w:val="36"/>
        </w:rPr>
        <w:t xml:space="preserve">2. Problem Statement</w:t>
      </w:r>
    </w:p>
    <w:p>
      <w:pPr>
        <w:spacing w:before="60" w:after="120" w:line="320"/>
      </w:pPr>
      <w:r>
        <w:rPr>
          <w:rFonts w:ascii="Calibri" w:cs="Calibri" w:eastAsia="Calibri" w:hAnsi="Calibri"/>
          <w:color w:val="0D1B3E"/>
          <w:sz w:val="22"/>
          <w:szCs w:val="22"/>
        </w:rPr>
        <w:t xml:space="preserve">Legal and procurement teams routinely compare offer letters against master agreements or standard contract templates. This process is:</w:t>
      </w:r>
    </w:p>
    <w:p>
      <w:pPr>
        <w:pStyle w:val="ListParagraph"/>
        <w:numPr>
          <w:ilvl w:val="0"/>
          <w:numId w:val="2"/>
        </w:numPr>
        <w:spacing w:before="40" w:after="40"/>
      </w:pPr>
      <w:r>
        <w:rPr>
          <w:rFonts w:ascii="Calibri" w:cs="Calibri" w:eastAsia="Calibri" w:hAnsi="Calibri"/>
          <w:color w:val="0D1B3E"/>
          <w:sz w:val="22"/>
          <w:szCs w:val="22"/>
        </w:rPr>
        <w:t xml:space="preserve">Time-consuming — a 43-page document can take an experienced reviewer several hours to cross-check.</w:t>
      </w:r>
    </w:p>
    <w:p>
      <w:pPr>
        <w:pStyle w:val="ListParagraph"/>
        <w:numPr>
          <w:ilvl w:val="0"/>
          <w:numId w:val="2"/>
        </w:numPr>
        <w:spacing w:before="40" w:after="40"/>
      </w:pPr>
      <w:r>
        <w:rPr>
          <w:rFonts w:ascii="Calibri" w:cs="Calibri" w:eastAsia="Calibri" w:hAnsi="Calibri"/>
          <w:color w:val="0D1B3E"/>
          <w:sz w:val="22"/>
          <w:szCs w:val="22"/>
        </w:rPr>
        <w:t xml:space="preserve">Error-prone — reviewers may miss subtle changes in obligations, timelines, or conditions buried in dense prose.</w:t>
      </w:r>
    </w:p>
    <w:p>
      <w:pPr>
        <w:pStyle w:val="ListParagraph"/>
        <w:numPr>
          <w:ilvl w:val="0"/>
          <w:numId w:val="2"/>
        </w:numPr>
        <w:spacing w:before="40" w:after="40"/>
      </w:pPr>
      <w:r>
        <w:rPr>
          <w:rFonts w:ascii="Calibri" w:cs="Calibri" w:eastAsia="Calibri" w:hAnsi="Calibri"/>
          <w:color w:val="0D1B3E"/>
          <w:sz w:val="22"/>
          <w:szCs w:val="22"/>
        </w:rPr>
        <w:t xml:space="preserve">Inconsistent — different reviewers apply different and subjective standards of materiality.</w:t>
      </w:r>
    </w:p>
    <w:p>
      <w:r>
        <w:t xml:space="preserve"/>
      </w:r>
    </w:p>
    <w:p>
      <w:pPr>
        <w:spacing w:before="60" w:after="120" w:line="320"/>
      </w:pPr>
      <w:r>
        <w:rPr>
          <w:rFonts w:ascii="Calibri" w:cs="Calibri" w:eastAsia="Calibri" w:hAnsi="Calibri"/>
          <w:color w:val="0D1B3E"/>
          <w:sz w:val="22"/>
          <w:szCs w:val="22"/>
        </w:rPr>
        <w:t xml:space="preserve">The tool automates this review and surfaces only material deviations in a structured Markdown table with exact page references for both documents.</w:t>
      </w:r>
    </w:p>
    <w:p>
      <w:r>
        <w:t xml:space="preserve"/>
      </w:r>
    </w:p>
    <w:p>
      <w:pPr>
        <w:pStyle w:val="Heading1"/>
        <w:spacing w:before="400" w:after="160"/>
      </w:pPr>
      <w:r>
        <w:rPr>
          <w:rFonts w:ascii="Calibri" w:cs="Calibri" w:eastAsia="Calibri" w:hAnsi="Calibri"/>
          <w:b/>
          <w:bCs/>
          <w:color w:val="0D1B3E"/>
          <w:sz w:val="36"/>
          <w:szCs w:val="36"/>
        </w:rPr>
        <w:t xml:space="preserve">3. Why Full-Context Instead of RAG</w:t>
      </w:r>
    </w:p>
    <w:p>
      <w:pPr>
        <w:spacing w:before="60" w:after="120" w:line="320"/>
      </w:pPr>
      <w:r>
        <w:rPr>
          <w:rFonts w:ascii="Calibri" w:cs="Calibri" w:eastAsia="Calibri" w:hAnsi="Calibri"/>
          <w:color w:val="0D1B3E"/>
          <w:sz w:val="22"/>
          <w:szCs w:val="22"/>
        </w:rPr>
        <w:t xml:space="preserve">RAG was designed for retrieval over large corpora — thousands of documents, or documents too large to fit in a context window. For a two-document comparison task, it introduces significant failure modes.</w:t>
      </w:r>
    </w:p>
    <w:p>
      <w:r>
        <w:t xml:space="preserve"/>
      </w:r>
    </w:p>
    <w:p>
      <w:pPr>
        <w:pStyle w:val="Heading2"/>
        <w:spacing w:before="280" w:after="100"/>
      </w:pPr>
      <w:r>
        <w:rPr>
          <w:rFonts w:ascii="Calibri" w:cs="Calibri" w:eastAsia="Calibri" w:hAnsi="Calibri"/>
          <w:b/>
          <w:bCs/>
          <w:color w:val="0A7EA4"/>
          <w:sz w:val="26"/>
          <w:szCs w:val="26"/>
        </w:rPr>
        <w:t xml:space="preserve">3.1 RAG Failure Modes for This Task</w:t>
      </w:r>
    </w:p>
    <w:p>
      <w:pPr>
        <w:pStyle w:val="Heading3"/>
        <w:spacing w:before="180" w:after="80"/>
      </w:pPr>
      <w:r>
        <w:rPr>
          <w:rFonts w:ascii="Calibri" w:cs="Calibri" w:eastAsia="Calibri" w:hAnsi="Calibri"/>
          <w:b/>
          <w:bCs/>
          <w:color w:val="475569"/>
          <w:sz w:val="22"/>
          <w:szCs w:val="22"/>
        </w:rPr>
        <w:t xml:space="preserve">Chunking destroys clause context</w:t>
      </w:r>
    </w:p>
    <w:p>
      <w:pPr>
        <w:spacing w:before="60" w:after="120" w:line="320"/>
      </w:pPr>
      <w:r>
        <w:rPr>
          <w:rFonts w:ascii="Calibri" w:cs="Calibri" w:eastAsia="Calibri" w:hAnsi="Calibri"/>
          <w:color w:val="0D1B3E"/>
          <w:sz w:val="22"/>
          <w:szCs w:val="22"/>
        </w:rPr>
        <w:t xml:space="preserve">A termination clause spanning three paragraphs — where paragraph 1 states the condition, paragraph 2 the notice period, and paragraph 3 the remedy — will be split into separate chunks. The retrieved fragment loses surrounding conditions that define its legal meaning, producing silent false negatives.</w:t>
      </w:r>
    </w:p>
    <w:p>
      <w:r>
        <w:t xml:space="preserve"/>
      </w:r>
    </w:p>
    <w:p>
      <w:pPr>
        <w:pStyle w:val="Heading3"/>
        <w:spacing w:before="180" w:after="80"/>
      </w:pPr>
      <w:r>
        <w:rPr>
          <w:rFonts w:ascii="Calibri" w:cs="Calibri" w:eastAsia="Calibri" w:hAnsi="Calibri"/>
          <w:b/>
          <w:bCs/>
          <w:color w:val="475569"/>
          <w:sz w:val="22"/>
          <w:szCs w:val="22"/>
        </w:rPr>
        <w:t xml:space="preserve">Embedding similarity is not legal materiality</w:t>
      </w:r>
    </w:p>
    <w:p>
      <w:pPr>
        <w:spacing w:before="60" w:after="120" w:line="320"/>
      </w:pPr>
      <w:r>
        <w:rPr>
          <w:rFonts w:ascii="Calibri" w:cs="Calibri" w:eastAsia="Calibri" w:hAnsi="Calibri"/>
          <w:color w:val="0D1B3E"/>
          <w:sz w:val="22"/>
          <w:szCs w:val="22"/>
        </w:rPr>
        <w:t xml:space="preserve">Two clauses can be worded very differently but mean the same thing (no deviation), or sound nearly identical but differ in a single word — "may" versus "shall" — which is a material deviation. Cosine similarity in embedding space is a poor substitute for legal reasoning.</w:t>
      </w:r>
    </w:p>
    <w:p>
      <w:r>
        <w:t xml:space="preserve"/>
      </w:r>
    </w:p>
    <w:p>
      <w:pPr>
        <w:pStyle w:val="Heading3"/>
        <w:spacing w:before="180" w:after="80"/>
      </w:pPr>
      <w:r>
        <w:rPr>
          <w:rFonts w:ascii="Calibri" w:cs="Calibri" w:eastAsia="Calibri" w:hAnsi="Calibri"/>
          <w:b/>
          <w:bCs/>
          <w:color w:val="475569"/>
          <w:sz w:val="22"/>
          <w:szCs w:val="22"/>
        </w:rPr>
        <w:t xml:space="preserve">Omission detection is impossible</w:t>
      </w:r>
    </w:p>
    <w:p>
      <w:pPr>
        <w:spacing w:before="60" w:after="120" w:line="320"/>
      </w:pPr>
      <w:r>
        <w:rPr>
          <w:rFonts w:ascii="Calibri" w:cs="Calibri" w:eastAsia="Calibri" w:hAnsi="Calibri"/>
          <w:color w:val="0D1B3E"/>
          <w:sz w:val="22"/>
          <w:szCs w:val="22"/>
        </w:rPr>
        <w:t xml:space="preserve">If a clause present in the base document is entirely absent from the offer, there is nothing to retrieve against. The retrieval step produces no candidate, and the omission is silently missed — arguably the most dangerous failure mode in contract review.</w:t>
      </w:r>
    </w:p>
    <w:p>
      <w:r>
        <w:t xml:space="preserve"/>
      </w:r>
    </w:p>
    <w:p>
      <w:pPr>
        <w:pStyle w:val="Heading2"/>
        <w:spacing w:before="280" w:after="100"/>
      </w:pPr>
      <w:r>
        <w:rPr>
          <w:rFonts w:ascii="Calibri" w:cs="Calibri" w:eastAsia="Calibri" w:hAnsi="Calibri"/>
          <w:b/>
          <w:bCs/>
          <w:color w:val="0A7EA4"/>
          <w:sz w:val="26"/>
          <w:szCs w:val="26"/>
        </w:rPr>
        <w:t xml:space="preserve">3.2 Context Window Fit</w:t>
      </w:r>
    </w:p>
    <w:p>
      <w:pPr>
        <w:spacing w:before="60" w:after="120" w:line="320"/>
      </w:pPr>
      <w:r>
        <w:rPr>
          <w:rFonts w:ascii="Calibri" w:cs="Calibri" w:eastAsia="Calibri" w:hAnsi="Calibri"/>
          <w:color w:val="0D1B3E"/>
          <w:sz w:val="22"/>
          <w:szCs w:val="22"/>
        </w:rPr>
        <w:t xml:space="preserve">The documents in scope are 10–43 pages. At approximately 500–800 tokens per dense page, a 43-page document runs to roughly 25,000–35,000 tokens. Both documents together fit comfortably within a 128K context window with substantial headroom for the structured JSON completion.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Aspect</w:t>
            </w:r>
          </w:p>
        </w:tc>
        <w:tc>
          <w:tcPr>
            <w:tcW w:type="dxa" w:w="312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RAG Approach</w:t>
            </w:r>
          </w:p>
        </w:tc>
        <w:tc>
          <w:tcPr>
            <w:tcW w:type="dxa" w:w="3120"/>
            <w:tcBorders>
              <w:top w:val="single" w:color="CBD5E1" w:sz="1"/>
              <w:left w:val="single" w:color="CBD5E1" w:sz="1"/>
              <w:bottom w:val="single" w:color="CBD5E1" w:sz="1"/>
              <w:right w:val="single" w:color="CBD5E1"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Full-Context Approach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Context needed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~25K tokens per doc</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~50K tokens total (both docs)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Omission detection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Not possible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Native — LLM sees both in full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Cross-clause refs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Broken by chunking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Fully preserved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Legal nuance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Lost in embedding space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Reasoned directly by the LLM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Infrastructure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Chroma, embeddings, retriever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D1B3E"/>
                <w:sz w:val="20"/>
                <w:szCs w:val="20"/>
              </w:rPr>
              <w:t xml:space="preserve">openai client only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Latency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Many sequential round-trips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D1B3E"/>
                <w:sz w:val="20"/>
                <w:szCs w:val="20"/>
              </w:rPr>
              <w:t xml:space="preserve">Single API call</w:t>
            </w:r>
          </w:p>
        </w:tc>
      </w:tr>
    </w:tbl>
    <w:p>
      <w:r>
        <w:t xml:space="preserve"/>
      </w:r>
    </w:p>
    <w:p>
      <w:pPr>
        <w:pStyle w:val="Heading1"/>
        <w:spacing w:before="400" w:after="160"/>
      </w:pPr>
      <w:r>
        <w:rPr>
          <w:rFonts w:ascii="Calibri" w:cs="Calibri" w:eastAsia="Calibri" w:hAnsi="Calibri"/>
          <w:b/>
          <w:bCs/>
          <w:color w:val="0D1B3E"/>
          <w:sz w:val="36"/>
          <w:szCs w:val="36"/>
        </w:rPr>
        <w:t xml:space="preserve">4. System Architecture</w:t>
      </w:r>
    </w:p>
    <w:p>
      <w:pPr>
        <w:spacing w:before="60" w:after="120" w:line="320"/>
      </w:pPr>
      <w:r>
        <w:rPr>
          <w:rFonts w:ascii="Calibri" w:cs="Calibri" w:eastAsia="Calibri" w:hAnsi="Calibri"/>
          <w:color w:val="0D1B3E"/>
          <w:sz w:val="22"/>
          <w:szCs w:val="22"/>
        </w:rPr>
        <w:t xml:space="preserve">The pipeline has four sequential stages with no external storage or retrieval layer.</w:t>
      </w:r>
    </w:p>
    <w:p>
      <w:r>
        <w:t xml:space="preserve"/>
      </w:r>
    </w:p>
    <w:p>
      <w:pPr>
        <w:pStyle w:val="Heading2"/>
        <w:spacing w:before="280" w:after="100"/>
      </w:pPr>
      <w:r>
        <w:rPr>
          <w:rFonts w:ascii="Calibri" w:cs="Calibri" w:eastAsia="Calibri" w:hAnsi="Calibri"/>
          <w:b/>
          <w:bCs/>
          <w:color w:val="0A7EA4"/>
          <w:sz w:val="26"/>
          <w:szCs w:val="26"/>
        </w:rPr>
        <w:t xml:space="preserve">4.1 Document Extraction</w:t>
      </w:r>
    </w:p>
    <w:p>
      <w:pPr>
        <w:pStyle w:val="Heading3"/>
        <w:spacing w:before="180" w:after="80"/>
      </w:pPr>
      <w:r>
        <w:rPr>
          <w:rFonts w:ascii="Calibri" w:cs="Calibri" w:eastAsia="Calibri" w:hAnsi="Calibri"/>
          <w:b/>
          <w:bCs/>
          <w:color w:val="475569"/>
          <w:sz w:val="22"/>
          <w:szCs w:val="22"/>
        </w:rPr>
        <w:t xml:space="preserve">PDF — PyMuPDF (fitz)</w:t>
      </w:r>
    </w:p>
    <w:p>
      <w:pPr>
        <w:spacing w:before="60" w:after="120" w:line="320"/>
      </w:pPr>
      <w:r>
        <w:rPr>
          <w:rFonts w:ascii="Calibri" w:cs="Calibri" w:eastAsia="Calibri" w:hAnsi="Calibri"/>
          <w:color w:val="0D1B3E"/>
          <w:sz w:val="22"/>
          <w:szCs w:val="22"/>
        </w:rPr>
        <w:t xml:space="preserve">PyMuPDF is a Python binding for the MuPDF C library, chosen over pdfplumber for three reasons: (1) speed — MuPDF is compiled C, 5–10× faster than pdfminer for large documents; (2) robustness — handles malformed PDFs that trip up pure-Python parsers; (3) block-level API — </w:t>
      </w:r>
      <w:r>
        <w:rPr>
          <w:rFonts w:ascii="Consolas" w:cs="Consolas" w:eastAsia="Consolas" w:hAnsi="Consolas"/>
          <w:color w:val="1E40AF"/>
          <w:sz w:val="19"/>
          <w:szCs w:val="19"/>
          <w:shd w:fill="EFF6FF" w:val="clear"/>
        </w:rPr>
        <w:t xml:space="preserve">get_text("blocks", sort=True)</w:t>
      </w:r>
      <w:r>
        <w:rPr>
          <w:rFonts w:ascii="Calibri" w:cs="Calibri" w:eastAsia="Calibri" w:hAnsi="Calibri"/>
          <w:color w:val="0D1B3E"/>
          <w:sz w:val="22"/>
          <w:szCs w:val="22"/>
        </w:rPr>
        <w:t xml:space="preserve"> returns pre-grouped text blocks in reading order, each typed as text (0) or image (1), with no manual splitting required.</w:t>
      </w:r>
    </w:p>
    <w:p>
      <w:r>
        <w:t xml:space="preserve"/>
      </w:r>
    </w:p>
    <w:p>
      <w:pPr>
        <w:pStyle w:val="Heading3"/>
        <w:spacing w:before="180" w:after="80"/>
      </w:pPr>
      <w:r>
        <w:rPr>
          <w:rFonts w:ascii="Calibri" w:cs="Calibri" w:eastAsia="Calibri" w:hAnsi="Calibri"/>
          <w:b/>
          <w:bCs/>
          <w:color w:val="475569"/>
          <w:sz w:val="22"/>
          <w:szCs w:val="22"/>
        </w:rPr>
        <w:t xml:space="preserve">Word Document — python-docx</w:t>
      </w:r>
    </w:p>
    <w:p>
      <w:pPr>
        <w:spacing w:before="60" w:after="120" w:line="320"/>
      </w:pPr>
      <w:r>
        <w:rPr>
          <w:rFonts w:ascii="Calibri" w:cs="Calibri" w:eastAsia="Calibri" w:hAnsi="Calibri"/>
          <w:color w:val="0D1B3E"/>
          <w:sz w:val="22"/>
          <w:szCs w:val="22"/>
        </w:rPr>
        <w:t xml:space="preserve">python-docx iterates paragraph objects and detects explicit page breaks via </w:t>
      </w:r>
      <w:r>
        <w:rPr>
          <w:rFonts w:ascii="Consolas" w:cs="Consolas" w:eastAsia="Consolas" w:hAnsi="Consolas"/>
          <w:color w:val="1E40AF"/>
          <w:sz w:val="19"/>
          <w:szCs w:val="19"/>
          <w:shd w:fill="EFF6FF" w:val="clear"/>
        </w:rPr>
        <w:t xml:space="preserve">run.contains_page_break</w:t>
      </w:r>
      <w:r>
        <w:rPr>
          <w:rFonts w:ascii="Calibri" w:cs="Calibri" w:eastAsia="Calibri" w:hAnsi="Calibri"/>
          <w:color w:val="0D1B3E"/>
          <w:sz w:val="22"/>
          <w:szCs w:val="22"/>
        </w:rPr>
        <w:t xml:space="preserve">. This provides a logical page counter tracking the document's explicit pagination. Rendered page breaks from layout are not detectable, but explicit breaks suffice for standard offer letters.</w:t>
      </w:r>
    </w:p>
    <w:p>
      <w:r>
        <w:t xml:space="preserve"/>
      </w:r>
    </w:p>
    <w:p>
      <w:pPr>
        <w:pStyle w:val="Heading2"/>
        <w:spacing w:before="280" w:after="100"/>
      </w:pPr>
      <w:r>
        <w:rPr>
          <w:rFonts w:ascii="Calibri" w:cs="Calibri" w:eastAsia="Calibri" w:hAnsi="Calibri"/>
          <w:b/>
          <w:bCs/>
          <w:color w:val="0A7EA4"/>
          <w:sz w:val="26"/>
          <w:szCs w:val="26"/>
        </w:rPr>
        <w:t xml:space="preserve">4.2 Section Inference</w:t>
      </w:r>
    </w:p>
    <w:p>
      <w:pPr>
        <w:spacing w:before="60" w:after="120" w:line="320"/>
      </w:pPr>
      <w:r>
        <w:rPr>
          <w:rFonts w:ascii="Calibri" w:cs="Calibri" w:eastAsia="Calibri" w:hAnsi="Calibri"/>
          <w:color w:val="0D1B3E"/>
          <w:sz w:val="22"/>
          <w:szCs w:val="22"/>
        </w:rPr>
        <w:t xml:space="preserve">A heuristic pass tags each paragraph with the last heading-like text seen. A heading is detected when the text is 12 words or fewer, does not end with a period, and is title-cased, ALL CAPS, or matches a numbered prefix pattern such as "3." or "3)". These labels are embedded in the prompt so the LLM has explicit structural context without inferring it from raw text.</w:t>
      </w:r>
    </w:p>
    <w:p>
      <w:r>
        <w:t xml:space="preserve"/>
      </w:r>
    </w:p>
    <w:p>
      <w:pPr>
        <w:pStyle w:val="Heading2"/>
        <w:spacing w:before="280" w:after="100"/>
      </w:pPr>
      <w:r>
        <w:rPr>
          <w:rFonts w:ascii="Calibri" w:cs="Calibri" w:eastAsia="Calibri" w:hAnsi="Calibri"/>
          <w:b/>
          <w:bCs/>
          <w:color w:val="0A7EA4"/>
          <w:sz w:val="26"/>
          <w:szCs w:val="26"/>
        </w:rPr>
        <w:t xml:space="preserve">4.3 Prompt Construction</w:t>
      </w:r>
    </w:p>
    <w:p>
      <w:pPr>
        <w:spacing w:before="60" w:after="120" w:line="320"/>
      </w:pPr>
      <w:r>
        <w:rPr>
          <w:rFonts w:ascii="Calibri" w:cs="Calibri" w:eastAsia="Calibri" w:hAnsi="Calibri"/>
          <w:color w:val="0D1B3E"/>
          <w:sz w:val="22"/>
          <w:szCs w:val="22"/>
        </w:rPr>
        <w:t xml:space="preserve">Both documents are rendered via </w:t>
      </w:r>
      <w:r>
        <w:rPr>
          <w:rFonts w:ascii="Consolas" w:cs="Consolas" w:eastAsia="Consolas" w:hAnsi="Consolas"/>
          <w:color w:val="1E40AF"/>
          <w:sz w:val="19"/>
          <w:szCs w:val="19"/>
          <w:shd w:fill="EFF6FF" w:val="clear"/>
        </w:rPr>
        <w:t xml:space="preserve">PagedDocument.as_prompt_block()</w:t>
      </w:r>
      <w:r>
        <w:rPr>
          <w:rFonts w:ascii="Calibri" w:cs="Calibri" w:eastAsia="Calibri" w:hAnsi="Calibri"/>
          <w:color w:val="0D1B3E"/>
          <w:sz w:val="22"/>
          <w:szCs w:val="22"/>
        </w:rPr>
        <w:t xml:space="preserve">. Each paragraph is prefixed with its sequential index, page number, and section:</w:t>
      </w:r>
    </w:p>
    <w:p>
      <w:r>
        <w:t xml:space="preserve"/>
      </w:r>
    </w:p>
    <w:p>
      <w:pPr>
        <w:spacing w:before="30" w:after="30"/>
        <w:ind w:left="440"/>
      </w:pPr>
      <w:r>
        <w:rPr>
          <w:rFonts w:ascii="Consolas" w:cs="Consolas" w:eastAsia="Consolas" w:hAnsi="Consolas"/>
          <w:color w:val="1E40AF"/>
          <w:sz w:val="18"/>
          <w:szCs w:val="18"/>
        </w:rPr>
        <w:t xml:space="preserve">[7. p.3 | §Employment Terms] The employee shall receive a base salary of...</w:t>
      </w:r>
    </w:p>
    <w:p>
      <w:pPr>
        <w:spacing w:before="30" w:after="30"/>
        <w:ind w:left="440"/>
      </w:pPr>
      <w:r>
        <w:rPr>
          <w:rFonts w:ascii="Consolas" w:cs="Consolas" w:eastAsia="Consolas" w:hAnsi="Consolas"/>
          <w:color w:val="1E40AF"/>
          <w:sz w:val="18"/>
          <w:szCs w:val="18"/>
        </w:rPr>
        <w:t xml:space="preserve">[8. p.3 | §Employment Terms] Salary shall be reviewed annually, subject to...</w:t>
      </w:r>
    </w:p>
    <w:p>
      <w:r>
        <w:t xml:space="preserve"/>
      </w:r>
    </w:p>
    <w:p>
      <w:pPr>
        <w:spacing w:before="60" w:after="120" w:line="320"/>
      </w:pPr>
      <w:r>
        <w:rPr>
          <w:rFonts w:ascii="Calibri" w:cs="Calibri" w:eastAsia="Calibri" w:hAnsi="Calibri"/>
          <w:color w:val="0D1B3E"/>
          <w:sz w:val="22"/>
          <w:szCs w:val="22"/>
        </w:rPr>
        <w:t xml:space="preserve">This gives the LLM three pieces of positional metadata per paragraph — index, page, and section — enabling it to populate all output table fields accurately without any retrieval step.</w:t>
      </w:r>
    </w:p>
    <w:p>
      <w:r>
        <w:t xml:space="preserve"/>
      </w:r>
    </w:p>
    <w:p>
      <w:pPr>
        <w:pStyle w:val="Heading2"/>
        <w:spacing w:before="280" w:after="100"/>
      </w:pPr>
      <w:r>
        <w:rPr>
          <w:rFonts w:ascii="Calibri" w:cs="Calibri" w:eastAsia="Calibri" w:hAnsi="Calibri"/>
          <w:b/>
          <w:bCs/>
          <w:color w:val="0A7EA4"/>
          <w:sz w:val="26"/>
          <w:szCs w:val="26"/>
        </w:rPr>
        <w:t xml:space="preserve">4.4 Token Guard</w:t>
      </w:r>
    </w:p>
    <w:p>
      <w:pPr>
        <w:spacing w:before="60" w:after="120" w:line="320"/>
      </w:pPr>
      <w:r>
        <w:rPr>
          <w:rFonts w:ascii="Calibri" w:cs="Calibri" w:eastAsia="Calibri" w:hAnsi="Calibri"/>
          <w:color w:val="0D1B3E"/>
          <w:sz w:val="22"/>
          <w:szCs w:val="22"/>
        </w:rPr>
        <w:t xml:space="preserve">Before the API call, </w:t>
      </w:r>
      <w:r>
        <w:rPr>
          <w:rFonts w:ascii="Consolas" w:cs="Consolas" w:eastAsia="Consolas" w:hAnsi="Consolas"/>
          <w:color w:val="1E40AF"/>
          <w:sz w:val="19"/>
          <w:szCs w:val="19"/>
          <w:shd w:fill="EFF6FF" w:val="clear"/>
        </w:rPr>
        <w:t xml:space="preserve">estimate_tokens()</w:t>
      </w:r>
      <w:r>
        <w:rPr>
          <w:rFonts w:ascii="Calibri" w:cs="Calibri" w:eastAsia="Calibri" w:hAnsi="Calibri"/>
          <w:color w:val="0D1B3E"/>
          <w:sz w:val="22"/>
          <w:szCs w:val="22"/>
        </w:rPr>
        <w:t xml:space="preserve"> checks the prompt fits within 85% of the declared context limit. The 15% headroom is reserved for the structured JSON completion. tiktoken falls back to the </w:t>
      </w:r>
      <w:r>
        <w:rPr>
          <w:rFonts w:ascii="Consolas" w:cs="Consolas" w:eastAsia="Consolas" w:hAnsi="Consolas"/>
          <w:color w:val="1E40AF"/>
          <w:sz w:val="19"/>
          <w:szCs w:val="19"/>
          <w:shd w:fill="EFF6FF" w:val="clear"/>
        </w:rPr>
        <w:t xml:space="preserve">cl100k_base</w:t>
      </w:r>
      <w:r>
        <w:rPr>
          <w:rFonts w:ascii="Calibri" w:cs="Calibri" w:eastAsia="Calibri" w:hAnsi="Calibri"/>
          <w:color w:val="0D1B3E"/>
          <w:sz w:val="22"/>
          <w:szCs w:val="22"/>
        </w:rPr>
        <w:t xml:space="preserve"> encoding when the model name is not in its registry — always the case for OSS model names — which is the correct encoding for all recent transformer models.</w:t>
      </w:r>
    </w:p>
    <w:p>
      <w:r>
        <w:t xml:space="preserve"/>
      </w:r>
    </w:p>
    <w:p>
      <w:pPr>
        <w:pStyle w:val="Heading2"/>
        <w:spacing w:before="280" w:after="100"/>
      </w:pPr>
      <w:r>
        <w:rPr>
          <w:rFonts w:ascii="Calibri" w:cs="Calibri" w:eastAsia="Calibri" w:hAnsi="Calibri"/>
          <w:b/>
          <w:bCs/>
          <w:color w:val="0A7EA4"/>
          <w:sz w:val="26"/>
          <w:szCs w:val="26"/>
        </w:rPr>
        <w:t xml:space="preserve">4.5 LLM Call — Structured Output</w:t>
      </w:r>
    </w:p>
    <w:p>
      <w:pPr>
        <w:spacing w:before="60" w:after="120" w:line="320"/>
      </w:pPr>
      <w:r>
        <w:rPr>
          <w:rFonts w:ascii="Calibri" w:cs="Calibri" w:eastAsia="Calibri" w:hAnsi="Calibri"/>
          <w:color w:val="0D1B3E"/>
          <w:sz w:val="22"/>
          <w:szCs w:val="22"/>
        </w:rPr>
        <w:t xml:space="preserve">A single call with </w:t>
      </w:r>
      <w:r>
        <w:rPr>
          <w:rFonts w:ascii="Consolas" w:cs="Consolas" w:eastAsia="Consolas" w:hAnsi="Consolas"/>
          <w:color w:val="1E40AF"/>
          <w:sz w:val="19"/>
          <w:szCs w:val="19"/>
          <w:shd w:fill="EFF6FF" w:val="clear"/>
        </w:rPr>
        <w:t xml:space="preserve">response_format: {"type": "json_object"}</w:t>
      </w:r>
      <w:r>
        <w:rPr>
          <w:rFonts w:ascii="Calibri" w:cs="Calibri" w:eastAsia="Calibri" w:hAnsi="Calibri"/>
          <w:color w:val="0D1B3E"/>
          <w:sz w:val="22"/>
          <w:szCs w:val="22"/>
        </w:rPr>
        <w:t xml:space="preserve"> enforces valid JSON output. Pydantic's </w:t>
      </w:r>
      <w:r>
        <w:rPr>
          <w:rFonts w:ascii="Consolas" w:cs="Consolas" w:eastAsia="Consolas" w:hAnsi="Consolas"/>
          <w:color w:val="1E40AF"/>
          <w:sz w:val="19"/>
          <w:szCs w:val="19"/>
          <w:shd w:fill="EFF6FF" w:val="clear"/>
        </w:rPr>
        <w:t xml:space="preserve">model_validate()</w:t>
      </w:r>
      <w:r>
        <w:rPr>
          <w:rFonts w:ascii="Calibri" w:cs="Calibri" w:eastAsia="Calibri" w:hAnsi="Calibri"/>
          <w:color w:val="0D1B3E"/>
          <w:sz w:val="22"/>
          <w:szCs w:val="22"/>
        </w:rPr>
        <w:t xml:space="preserve"> enforces the schema on the response. The </w:t>
      </w:r>
      <w:r>
        <w:rPr>
          <w:rFonts w:ascii="Consolas" w:cs="Consolas" w:eastAsia="Consolas" w:hAnsi="Consolas"/>
          <w:color w:val="1E40AF"/>
          <w:sz w:val="19"/>
          <w:szCs w:val="19"/>
          <w:shd w:fill="EFF6FF" w:val="clear"/>
        </w:rPr>
        <w:t xml:space="preserve">deviation</w:t>
      </w:r>
      <w:r>
        <w:rPr>
          <w:rFonts w:ascii="Calibri" w:cs="Calibri" w:eastAsia="Calibri" w:hAnsi="Calibri"/>
          <w:color w:val="0D1B3E"/>
          <w:sz w:val="22"/>
          <w:szCs w:val="22"/>
        </w:rPr>
        <w:t xml:space="preserve"> field is always a Python </w:t>
      </w:r>
      <w:r>
        <w:rPr>
          <w:rFonts w:ascii="Consolas" w:cs="Consolas" w:eastAsia="Consolas" w:hAnsi="Consolas"/>
          <w:color w:val="1E40AF"/>
          <w:sz w:val="19"/>
          <w:szCs w:val="19"/>
          <w:shd w:fill="EFF6FF" w:val="clear"/>
        </w:rPr>
        <w:t xml:space="preserve">bool</w:t>
      </w:r>
      <w:r>
        <w:rPr>
          <w:rFonts w:ascii="Calibri" w:cs="Calibri" w:eastAsia="Calibri" w:hAnsi="Calibri"/>
          <w:color w:val="0D1B3E"/>
          <w:sz w:val="22"/>
          <w:szCs w:val="22"/>
        </w:rPr>
        <w:t xml:space="preserve"> — never a string. The system prompt instructs the model to flag omissions (base clause absent from offer, </w:t>
      </w:r>
      <w:r>
        <w:rPr>
          <w:rFonts w:ascii="Consolas" w:cs="Consolas" w:eastAsia="Consolas" w:hAnsi="Consolas"/>
          <w:color w:val="1E40AF"/>
          <w:sz w:val="19"/>
          <w:szCs w:val="19"/>
          <w:shd w:fill="EFF6FF" w:val="clear"/>
        </w:rPr>
        <w:t xml:space="preserve">compare_page: 0</w:t>
      </w:r>
      <w:r>
        <w:rPr>
          <w:rFonts w:ascii="Calibri" w:cs="Calibri" w:eastAsia="Calibri" w:hAnsi="Calibri"/>
          <w:color w:val="0D1B3E"/>
          <w:sz w:val="22"/>
          <w:szCs w:val="22"/>
        </w:rPr>
        <w:t xml:space="preserve">) and additions (offer clause absent from base, </w:t>
      </w:r>
      <w:r>
        <w:rPr>
          <w:rFonts w:ascii="Consolas" w:cs="Consolas" w:eastAsia="Consolas" w:hAnsi="Consolas"/>
          <w:color w:val="1E40AF"/>
          <w:sz w:val="19"/>
          <w:szCs w:val="19"/>
          <w:shd w:fill="EFF6FF" w:val="clear"/>
        </w:rPr>
        <w:t xml:space="preserve">base_page: 0</w:t>
      </w:r>
      <w:r>
        <w:rPr>
          <w:rFonts w:ascii="Calibri" w:cs="Calibri" w:eastAsia="Calibri" w:hAnsi="Calibri"/>
          <w:color w:val="0D1B3E"/>
          <w:sz w:val="22"/>
          <w:szCs w:val="22"/>
        </w:rPr>
        <w:t xml:space="preserve">), and to return only items where </w:t>
      </w:r>
      <w:r>
        <w:rPr>
          <w:rFonts w:ascii="Consolas" w:cs="Consolas" w:eastAsia="Consolas" w:hAnsi="Consolas"/>
          <w:color w:val="1E40AF"/>
          <w:sz w:val="19"/>
          <w:szCs w:val="19"/>
          <w:shd w:fill="EFF6FF" w:val="clear"/>
        </w:rPr>
        <w:t xml:space="preserve">deviation</w:t>
      </w:r>
      <w:r>
        <w:rPr>
          <w:rFonts w:ascii="Calibri" w:cs="Calibri" w:eastAsia="Calibri" w:hAnsi="Calibri"/>
          <w:color w:val="0D1B3E"/>
          <w:sz w:val="22"/>
          <w:szCs w:val="22"/>
        </w:rPr>
        <w:t xml:space="preserve"> is True.</w:t>
      </w:r>
    </w:p>
    <w:p>
      <w:r>
        <w:t xml:space="preserve"/>
      </w:r>
    </w:p>
    <w:p>
      <w:pPr>
        <w:pStyle w:val="Heading2"/>
        <w:spacing w:before="280" w:after="100"/>
      </w:pPr>
      <w:r>
        <w:rPr>
          <w:rFonts w:ascii="Calibri" w:cs="Calibri" w:eastAsia="Calibri" w:hAnsi="Calibri"/>
          <w:b/>
          <w:bCs/>
          <w:color w:val="0A7EA4"/>
          <w:sz w:val="26"/>
          <w:szCs w:val="26"/>
        </w:rPr>
        <w:t xml:space="preserve">4.6 Pydantic Data Models</w:t>
      </w:r>
    </w:p>
    <w:p>
      <w:pPr>
        <w:spacing w:before="60" w:after="120" w:line="320"/>
      </w:pPr>
      <w:r>
        <w:rPr>
          <w:rFonts w:ascii="Calibri" w:cs="Calibri" w:eastAsia="Calibri" w:hAnsi="Calibri"/>
          <w:color w:val="0D1B3E"/>
          <w:sz w:val="22"/>
          <w:szCs w:val="22"/>
        </w:rPr>
        <w:t xml:space="preserve">All structures are Pydantic v2 </w:t>
      </w:r>
      <w:r>
        <w:rPr>
          <w:rFonts w:ascii="Consolas" w:cs="Consolas" w:eastAsia="Consolas" w:hAnsi="Consolas"/>
          <w:color w:val="1E40AF"/>
          <w:sz w:val="19"/>
          <w:szCs w:val="19"/>
          <w:shd w:fill="EFF6FF" w:val="clear"/>
        </w:rPr>
        <w:t xml:space="preserve">BaseModel</w:t>
      </w:r>
      <w:r>
        <w:rPr>
          <w:rFonts w:ascii="Calibri" w:cs="Calibri" w:eastAsia="Calibri" w:hAnsi="Calibri"/>
          <w:color w:val="0D1B3E"/>
          <w:sz w:val="22"/>
          <w:szCs w:val="22"/>
        </w:rPr>
        <w:t xml:space="preserve"> subclasses. Key advantages over </w:t>
      </w:r>
      <w:r>
        <w:rPr>
          <w:rFonts w:ascii="Consolas" w:cs="Consolas" w:eastAsia="Consolas" w:hAnsi="Consolas"/>
          <w:color w:val="1E40AF"/>
          <w:sz w:val="19"/>
          <w:szCs w:val="19"/>
          <w:shd w:fill="EFF6FF" w:val="clear"/>
        </w:rPr>
        <w:t xml:space="preserve">@dataclass</w:t>
      </w:r>
      <w:r>
        <w:rPr>
          <w:rFonts w:ascii="Calibri" w:cs="Calibri" w:eastAsia="Calibri" w:hAnsi="Calibri"/>
          <w:color w:val="0D1B3E"/>
          <w:sz w:val="22"/>
          <w:szCs w:val="22"/>
        </w:rPr>
        <w:t xml:space="preserve">: runtime type validation on construction; </w:t>
      </w:r>
      <w:r>
        <w:rPr>
          <w:rFonts w:ascii="Consolas" w:cs="Consolas" w:eastAsia="Consolas" w:hAnsi="Consolas"/>
          <w:color w:val="1E40AF"/>
          <w:sz w:val="19"/>
          <w:szCs w:val="19"/>
          <w:shd w:fill="EFF6FF" w:val="clear"/>
        </w:rPr>
        <w:t xml:space="preserve">model_copy(update={...})</w:t>
      </w:r>
      <w:r>
        <w:rPr>
          <w:rFonts w:ascii="Calibri" w:cs="Calibri" w:eastAsia="Calibri" w:hAnsi="Calibri"/>
          <w:color w:val="0D1B3E"/>
          <w:sz w:val="22"/>
          <w:szCs w:val="22"/>
        </w:rPr>
        <w:t xml:space="preserve"> for safe immutable updates in section inference; </w:t>
      </w:r>
      <w:r>
        <w:rPr>
          <w:rFonts w:ascii="Consolas" w:cs="Consolas" w:eastAsia="Consolas" w:hAnsi="Consolas"/>
          <w:color w:val="1E40AF"/>
          <w:sz w:val="19"/>
          <w:szCs w:val="19"/>
          <w:shd w:fill="EFF6FF" w:val="clear"/>
        </w:rPr>
        <w:t xml:space="preserve">@model_validator</w:t>
      </w:r>
      <w:r>
        <w:rPr>
          <w:rFonts w:ascii="Calibri" w:cs="Calibri" w:eastAsia="Calibri" w:hAnsi="Calibri"/>
          <w:color w:val="0D1B3E"/>
          <w:sz w:val="22"/>
          <w:szCs w:val="22"/>
        </w:rPr>
        <w:t xml:space="preserve"> for the cross-field rule that requires </w:t>
      </w:r>
      <w:r>
        <w:rPr>
          <w:rFonts w:ascii="Consolas" w:cs="Consolas" w:eastAsia="Consolas" w:hAnsi="Consolas"/>
          <w:color w:val="1E40AF"/>
          <w:sz w:val="19"/>
          <w:szCs w:val="19"/>
          <w:shd w:fill="EFF6FF" w:val="clear"/>
        </w:rPr>
        <w:t xml:space="preserve">comments</w:t>
      </w:r>
      <w:r>
        <w:rPr>
          <w:rFonts w:ascii="Calibri" w:cs="Calibri" w:eastAsia="Calibri" w:hAnsi="Calibri"/>
          <w:color w:val="0D1B3E"/>
          <w:sz w:val="22"/>
          <w:szCs w:val="22"/>
        </w:rPr>
        <w:t xml:space="preserve"> when </w:t>
      </w:r>
      <w:r>
        <w:rPr>
          <w:rFonts w:ascii="Consolas" w:cs="Consolas" w:eastAsia="Consolas" w:hAnsi="Consolas"/>
          <w:color w:val="1E40AF"/>
          <w:sz w:val="19"/>
          <w:szCs w:val="19"/>
          <w:shd w:fill="EFF6FF" w:val="clear"/>
        </w:rPr>
        <w:t xml:space="preserve">deviation</w:t>
      </w:r>
      <w:r>
        <w:rPr>
          <w:rFonts w:ascii="Calibri" w:cs="Calibri" w:eastAsia="Calibri" w:hAnsi="Calibri"/>
          <w:color w:val="0D1B3E"/>
          <w:sz w:val="22"/>
          <w:szCs w:val="22"/>
        </w:rPr>
        <w:t xml:space="preserve"> is True and silently clears it otherwise.</w:t>
      </w:r>
    </w:p>
    <w:p>
      <w:r>
        <w:t xml:space="preserve"/>
      </w:r>
    </w:p>
    <w:p>
      <w:pPr>
        <w:pStyle w:val="Heading1"/>
        <w:spacing w:before="400" w:after="160"/>
      </w:pPr>
      <w:r>
        <w:rPr>
          <w:rFonts w:ascii="Calibri" w:cs="Calibri" w:eastAsia="Calibri" w:hAnsi="Calibri"/>
          <w:b/>
          <w:bCs/>
          <w:color w:val="0D1B3E"/>
          <w:sz w:val="36"/>
          <w:szCs w:val="36"/>
        </w:rPr>
        <w:t xml:space="preserve">5. End-to-End Data Flow</w:t>
      </w:r>
    </w:p>
    <w:p>
      <w:pPr>
        <w:pStyle w:val="ListParagraph"/>
        <w:numPr>
          <w:ilvl w:val="0"/>
          <w:numId w:val="2"/>
        </w:numPr>
        <w:spacing w:before="40" w:after="40"/>
      </w:pPr>
      <w:r>
        <w:rPr>
          <w:rFonts w:ascii="Calibri" w:cs="Calibri" w:eastAsia="Calibri" w:hAnsi="Calibri"/>
          <w:color w:val="0D1B3E"/>
          <w:sz w:val="22"/>
          <w:szCs w:val="22"/>
        </w:rPr>
        <w:t xml:space="preserve">CLI parses --base, --compare, --model, --base-url, --context-limit.</w:t>
      </w:r>
    </w:p>
    <w:p>
      <w:pPr>
        <w:pStyle w:val="ListParagraph"/>
        <w:numPr>
          <w:ilvl w:val="0"/>
          <w:numId w:val="2"/>
        </w:numPr>
        <w:spacing w:before="40" w:after="40"/>
      </w:pPr>
      <w:r>
        <w:rPr>
          <w:rFonts w:ascii="Calibri" w:cs="Calibri" w:eastAsia="Calibri" w:hAnsi="Calibri"/>
          <w:color w:val="0D1B3E"/>
          <w:sz w:val="22"/>
          <w:szCs w:val="22"/>
        </w:rPr>
        <w:t xml:space="preserve">load_pdf() and load_docx() extract paragraphs with page metadata.</w:t>
      </w:r>
    </w:p>
    <w:p>
      <w:pPr>
        <w:pStyle w:val="ListParagraph"/>
        <w:numPr>
          <w:ilvl w:val="0"/>
          <w:numId w:val="2"/>
        </w:numPr>
        <w:spacing w:before="40" w:after="40"/>
      </w:pPr>
      <w:r>
        <w:rPr>
          <w:rFonts w:ascii="Calibri" w:cs="Calibri" w:eastAsia="Calibri" w:hAnsi="Calibri"/>
          <w:color w:val="0D1B3E"/>
          <w:sz w:val="22"/>
          <w:szCs w:val="22"/>
        </w:rPr>
        <w:t xml:space="preserve">infer_sections() tags each paragraph with its nearest heading.</w:t>
      </w:r>
    </w:p>
    <w:p>
      <w:pPr>
        <w:pStyle w:val="ListParagraph"/>
        <w:numPr>
          <w:ilvl w:val="0"/>
          <w:numId w:val="2"/>
        </w:numPr>
        <w:spacing w:before="40" w:after="40"/>
      </w:pPr>
      <w:r>
        <w:rPr>
          <w:rFonts w:ascii="Calibri" w:cs="Calibri" w:eastAsia="Calibri" w:hAnsi="Calibri"/>
          <w:color w:val="0D1B3E"/>
          <w:sz w:val="22"/>
          <w:szCs w:val="22"/>
        </w:rPr>
        <w:t xml:space="preserve">build_user_prompt() renders both documents into a single annotated block.</w:t>
      </w:r>
    </w:p>
    <w:p>
      <w:pPr>
        <w:pStyle w:val="ListParagraph"/>
        <w:numPr>
          <w:ilvl w:val="0"/>
          <w:numId w:val="2"/>
        </w:numPr>
        <w:spacing w:before="40" w:after="40"/>
      </w:pPr>
      <w:r>
        <w:rPr>
          <w:rFonts w:ascii="Calibri" w:cs="Calibri" w:eastAsia="Calibri" w:hAnsi="Calibri"/>
          <w:color w:val="0D1B3E"/>
          <w:sz w:val="22"/>
          <w:szCs w:val="22"/>
        </w:rPr>
        <w:t xml:space="preserve">estimate_tokens() verifies fit within context limit.</w:t>
      </w:r>
    </w:p>
    <w:p>
      <w:pPr>
        <w:pStyle w:val="ListParagraph"/>
        <w:numPr>
          <w:ilvl w:val="0"/>
          <w:numId w:val="2"/>
        </w:numPr>
        <w:spacing w:before="40" w:after="40"/>
      </w:pPr>
      <w:r>
        <w:rPr>
          <w:rFonts w:ascii="Calibri" w:cs="Calibri" w:eastAsia="Calibri" w:hAnsi="Calibri"/>
          <w:color w:val="0D1B3E"/>
          <w:sz w:val="22"/>
          <w:szCs w:val="22"/>
        </w:rPr>
        <w:t xml:space="preserve">client.chat.completions.create() issues the single API call with json_object format.</w:t>
      </w:r>
    </w:p>
    <w:p>
      <w:pPr>
        <w:pStyle w:val="ListParagraph"/>
        <w:numPr>
          <w:ilvl w:val="0"/>
          <w:numId w:val="2"/>
        </w:numPr>
        <w:spacing w:before="40" w:after="40"/>
      </w:pPr>
      <w:r>
        <w:rPr>
          <w:rFonts w:ascii="Calibri" w:cs="Calibri" w:eastAsia="Calibri" w:hAnsi="Calibri"/>
          <w:color w:val="0D1B3E"/>
          <w:sz w:val="22"/>
          <w:szCs w:val="22"/>
        </w:rPr>
        <w:t xml:space="preserve">ComparisonResult.model_validate() parses and validates the JSON response.</w:t>
      </w:r>
    </w:p>
    <w:p>
      <w:pPr>
        <w:pStyle w:val="ListParagraph"/>
        <w:numPr>
          <w:ilvl w:val="0"/>
          <w:numId w:val="2"/>
        </w:numPr>
        <w:spacing w:before="40" w:after="40"/>
      </w:pPr>
      <w:r>
        <w:rPr>
          <w:rFonts w:ascii="Calibri" w:cs="Calibri" w:eastAsia="Calibri" w:hAnsi="Calibri"/>
          <w:color w:val="0D1B3E"/>
          <w:sz w:val="22"/>
          <w:szCs w:val="22"/>
        </w:rPr>
        <w:t xml:space="preserve">render_markdown() produces the output table; file is written to disk.</w:t>
      </w:r>
    </w:p>
    <w:p>
      <w:r>
        <w:t xml:space="preserve"/>
      </w:r>
    </w:p>
    <w:p>
      <w:pPr>
        <w:pStyle w:val="Heading1"/>
        <w:spacing w:before="400" w:after="160"/>
      </w:pPr>
      <w:r>
        <w:rPr>
          <w:rFonts w:ascii="Calibri" w:cs="Calibri" w:eastAsia="Calibri" w:hAnsi="Calibri"/>
          <w:b/>
          <w:bCs/>
          <w:color w:val="0D1B3E"/>
          <w:sz w:val="36"/>
          <w:szCs w:val="36"/>
        </w:rPr>
        <w:t xml:space="preserve">6. Key Design Decisions &amp; Trade-offs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EA4" w:val="clear"/>
          </w:tcPr>
          <w:p>
            <w:r>
              <w:t xml:space="preserve"/>
            </w:r>
          </w:p>
        </w:tc>
        <w:tc>
          <w:tcPr>
            <w:tcW w:type="dxa" w:w="9180"/>
            <w:tcBorders>
              <w:top w:val="none" w:color="FFFFFF" w:sz="0"/>
              <w:left w:val="none" w:color="FFFFFF" w:sz="0"/>
              <w:bottom w:val="none" w:color="FFFFFF" w:sz="0"/>
              <w:right w:val="none" w:color="FFFFFF" w:sz="0"/>
            </w:tcBorders>
            <w:shd w:fill="D6EEF7" w:val="clear"/>
            <w:tcMar>
              <w:top w:type="dxa" w:w="100"/>
              <w:left w:type="dxa" w:w="180"/>
              <w:bottom w:type="dxa" w:w="100"/>
              <w:right w:type="dxa" w:w="180"/>
            </w:tcMar>
          </w:tcPr>
          <w:p>
            <w:pPr>
              <w:spacing w:after="50"/>
            </w:pPr>
            <w:r>
              <w:rPr>
                <w:rFonts w:ascii="Calibri" w:cs="Calibri" w:eastAsia="Calibri" w:hAnsi="Calibri"/>
                <w:b/>
                <w:bCs/>
                <w:color w:val="0A7EA4"/>
                <w:sz w:val="20"/>
                <w:szCs w:val="20"/>
              </w:rPr>
              <w:t xml:space="preserve">No LangChain</w:t>
            </w:r>
          </w:p>
          <w:p>
            <w:pPr>
              <w:spacing w:after="0"/>
            </w:pPr>
            <w:r>
              <w:rPr>
                <w:rFonts w:ascii="Calibri" w:cs="Calibri" w:eastAsia="Calibri" w:hAnsi="Calibri"/>
                <w:color w:val="0D1B3E"/>
                <w:sz w:val="20"/>
                <w:szCs w:val="20"/>
              </w:rPr>
              <w:t xml:space="preserve">LangChain added value in the RAG version for chaining, prompt templates, and the vector store. With RAG removed, the openai client alone handles everything with fewer dependencies and less abstraction overhead.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EA4" w:val="clear"/>
          </w:tcPr>
          <w:p>
            <w:r>
              <w:t xml:space="preserve"/>
            </w:r>
          </w:p>
        </w:tc>
        <w:tc>
          <w:tcPr>
            <w:tcW w:type="dxa" w:w="9180"/>
            <w:tcBorders>
              <w:top w:val="none" w:color="FFFFFF" w:sz="0"/>
              <w:left w:val="none" w:color="FFFFFF" w:sz="0"/>
              <w:bottom w:val="none" w:color="FFFFFF" w:sz="0"/>
              <w:right w:val="none" w:color="FFFFFF" w:sz="0"/>
            </w:tcBorders>
            <w:shd w:fill="D6EEF7" w:val="clear"/>
            <w:tcMar>
              <w:top w:type="dxa" w:w="100"/>
              <w:left w:type="dxa" w:w="180"/>
              <w:bottom w:type="dxa" w:w="100"/>
              <w:right w:type="dxa" w:w="180"/>
            </w:tcMar>
          </w:tcPr>
          <w:p>
            <w:pPr>
              <w:spacing w:after="50"/>
            </w:pPr>
            <w:r>
              <w:rPr>
                <w:rFonts w:ascii="Calibri" w:cs="Calibri" w:eastAsia="Calibri" w:hAnsi="Calibri"/>
                <w:b/>
                <w:bCs/>
                <w:color w:val="0A7EA4"/>
                <w:sz w:val="20"/>
                <w:szCs w:val="20"/>
              </w:rPr>
              <w:t xml:space="preserve">response_format: json_object</w:t>
            </w:r>
          </w:p>
          <w:p>
            <w:pPr>
              <w:spacing w:after="0"/>
            </w:pPr>
            <w:r>
              <w:rPr>
                <w:rFonts w:ascii="Calibri" w:cs="Calibri" w:eastAsia="Calibri" w:hAnsi="Calibri"/>
                <w:color w:val="0D1B3E"/>
                <w:sz w:val="20"/>
                <w:szCs w:val="20"/>
              </w:rPr>
              <w:t xml:space="preserve">Rather than parsing freeform text or stripping markdown fences, this API parameter guarantees valid JSON output. Combined with Pydantic model_validate(), it eliminates all string-matching logic for the deviation field.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EA4" w:val="clear"/>
          </w:tcPr>
          <w:p>
            <w:r>
              <w:t xml:space="preserve"/>
            </w:r>
          </w:p>
        </w:tc>
        <w:tc>
          <w:tcPr>
            <w:tcW w:type="dxa" w:w="9180"/>
            <w:tcBorders>
              <w:top w:val="none" w:color="FFFFFF" w:sz="0"/>
              <w:left w:val="none" w:color="FFFFFF" w:sz="0"/>
              <w:bottom w:val="none" w:color="FFFFFF" w:sz="0"/>
              <w:right w:val="none" w:color="FFFFFF" w:sz="0"/>
            </w:tcBorders>
            <w:shd w:fill="D6EEF7" w:val="clear"/>
            <w:tcMar>
              <w:top w:type="dxa" w:w="100"/>
              <w:left w:type="dxa" w:w="180"/>
              <w:bottom w:type="dxa" w:w="100"/>
              <w:right w:type="dxa" w:w="180"/>
            </w:tcMar>
          </w:tcPr>
          <w:p>
            <w:pPr>
              <w:spacing w:after="50"/>
            </w:pPr>
            <w:r>
              <w:rPr>
                <w:rFonts w:ascii="Calibri" w:cs="Calibri" w:eastAsia="Calibri" w:hAnsi="Calibri"/>
                <w:b/>
                <w:bCs/>
                <w:color w:val="0A7EA4"/>
                <w:sz w:val="20"/>
                <w:szCs w:val="20"/>
              </w:rPr>
              <w:t xml:space="preserve">85% token headroom</w:t>
            </w:r>
          </w:p>
          <w:p>
            <w:pPr>
              <w:spacing w:after="0"/>
            </w:pPr>
            <w:r>
              <w:rPr>
                <w:rFonts w:ascii="Calibri" w:cs="Calibri" w:eastAsia="Calibri" w:hAnsi="Calibri"/>
                <w:color w:val="0D1B3E"/>
                <w:sz w:val="20"/>
                <w:szCs w:val="20"/>
              </w:rPr>
              <w:t xml:space="preserve">The 15% buffer reserves ~19K tokens at 128K context for the completion. 60 deviation items in JSON is well under 5K tokens, so the buffer is deliberately conservative.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45309" w:val="clear"/>
          </w:tcPr>
          <w:p>
            <w:r>
              <w:t xml:space="preserve"/>
            </w:r>
          </w:p>
        </w:tc>
        <w:tc>
          <w:tcPr>
            <w:tcW w:type="dxa" w:w="9180"/>
            <w:tcBorders>
              <w:top w:val="none" w:color="FFFFFF" w:sz="0"/>
              <w:left w:val="none" w:color="FFFFFF" w:sz="0"/>
              <w:bottom w:val="none" w:color="FFFFFF" w:sz="0"/>
              <w:right w:val="none" w:color="FFFFFF" w:sz="0"/>
            </w:tcBorders>
            <w:shd w:fill="FFF7ED" w:val="clear"/>
            <w:tcMar>
              <w:top w:type="dxa" w:w="100"/>
              <w:left w:type="dxa" w:w="180"/>
              <w:bottom w:type="dxa" w:w="100"/>
              <w:right w:type="dxa" w:w="180"/>
            </w:tcMar>
          </w:tcPr>
          <w:p>
            <w:pPr>
              <w:spacing w:after="50"/>
            </w:pPr>
            <w:r>
              <w:rPr>
                <w:rFonts w:ascii="Calibri" w:cs="Calibri" w:eastAsia="Calibri" w:hAnsi="Calibri"/>
                <w:b/>
                <w:bCs/>
                <w:color w:val="B45309"/>
                <w:sz w:val="20"/>
                <w:szCs w:val="20"/>
              </w:rPr>
              <w:t xml:space="preserve">Word page number limitation</w:t>
            </w:r>
          </w:p>
          <w:p>
            <w:pPr>
              <w:spacing w:after="0"/>
            </w:pPr>
            <w:r>
              <w:rPr>
                <w:rFonts w:ascii="Calibri" w:cs="Calibri" w:eastAsia="Calibri" w:hAnsi="Calibri"/>
                <w:color w:val="0D1B3E"/>
                <w:sz w:val="20"/>
                <w:szCs w:val="20"/>
              </w:rPr>
              <w:t xml:space="preserve">python-docx cannot detect rendered page breaks from layout — only explicit page-break characters. For most professionally formatted offer letters this is adequate. For documents with implicit pagination from content length, page numbers may be approximate.</w:t>
            </w:r>
          </w:p>
        </w:tc>
      </w:tr>
    </w:tbl>
    <w:p>
      <w:r>
        <w:t xml:space="preserve"/>
      </w:r>
    </w:p>
    <w:p>
      <w:pPr>
        <w:pStyle w:val="Heading1"/>
        <w:spacing w:before="400" w:after="160"/>
      </w:pPr>
      <w:r>
        <w:rPr>
          <w:rFonts w:ascii="Calibri" w:cs="Calibri" w:eastAsia="Calibri" w:hAnsi="Calibri"/>
          <w:b/>
          <w:bCs/>
          <w:color w:val="0D1B3E"/>
          <w:sz w:val="36"/>
          <w:szCs w:val="36"/>
        </w:rPr>
        <w:t xml:space="preserve">7. Usage</w:t>
      </w:r>
    </w:p>
    <w:p>
      <w:pPr>
        <w:pStyle w:val="Heading2"/>
        <w:spacing w:before="280" w:after="100"/>
      </w:pPr>
      <w:r>
        <w:rPr>
          <w:rFonts w:ascii="Calibri" w:cs="Calibri" w:eastAsia="Calibri" w:hAnsi="Calibri"/>
          <w:b/>
          <w:bCs/>
          <w:color w:val="0A7EA4"/>
          <w:sz w:val="26"/>
          <w:szCs w:val="26"/>
        </w:rPr>
        <w:t xml:space="preserve">Installation</w:t>
      </w:r>
    </w:p>
    <w:p>
      <w:pPr>
        <w:spacing w:before="30" w:after="30"/>
        <w:ind w:left="440"/>
      </w:pPr>
      <w:r>
        <w:rPr>
          <w:rFonts w:ascii="Consolas" w:cs="Consolas" w:eastAsia="Consolas" w:hAnsi="Consolas"/>
          <w:color w:val="1E40AF"/>
          <w:sz w:val="18"/>
          <w:szCs w:val="18"/>
        </w:rPr>
        <w:t xml:space="preserve">pip install pymupdf python-docx openai pydantic tiktoken</w:t>
      </w:r>
    </w:p>
    <w:p>
      <w:r>
        <w:t xml:space="preserve"/>
      </w:r>
    </w:p>
    <w:p>
      <w:pPr>
        <w:pStyle w:val="Heading2"/>
        <w:spacing w:before="280" w:after="100"/>
      </w:pPr>
      <w:r>
        <w:rPr>
          <w:rFonts w:ascii="Calibri" w:cs="Calibri" w:eastAsia="Calibri" w:hAnsi="Calibri"/>
          <w:b/>
          <w:bCs/>
          <w:color w:val="0A7EA4"/>
          <w:sz w:val="26"/>
          <w:szCs w:val="26"/>
        </w:rPr>
        <w:t xml:space="preserve">Environment</w:t>
      </w:r>
    </w:p>
    <w:p>
      <w:pPr>
        <w:spacing w:before="30" w:after="30"/>
        <w:ind w:left="440"/>
      </w:pPr>
      <w:r>
        <w:rPr>
          <w:rFonts w:ascii="Consolas" w:cs="Consolas" w:eastAsia="Consolas" w:hAnsi="Consolas"/>
          <w:color w:val="1E40AF"/>
          <w:sz w:val="18"/>
          <w:szCs w:val="18"/>
        </w:rPr>
        <w:t xml:space="preserve">export OPENAI_API_KEY="your-key"</w:t>
      </w:r>
    </w:p>
    <w:p>
      <w:r>
        <w:t xml:space="preserve"/>
      </w:r>
    </w:p>
    <w:p>
      <w:pPr>
        <w:pStyle w:val="Heading2"/>
        <w:spacing w:before="280" w:after="100"/>
      </w:pPr>
      <w:r>
        <w:rPr>
          <w:rFonts w:ascii="Calibri" w:cs="Calibri" w:eastAsia="Calibri" w:hAnsi="Calibri"/>
          <w:b/>
          <w:bCs/>
          <w:color w:val="0A7EA4"/>
          <w:sz w:val="26"/>
          <w:szCs w:val="26"/>
        </w:rPr>
        <w:t xml:space="preserve">Command</w:t>
      </w:r>
    </w:p>
    <w:p>
      <w:pPr>
        <w:spacing w:before="30" w:after="30"/>
        <w:ind w:left="440"/>
      </w:pPr>
      <w:r>
        <w:rPr>
          <w:rFonts w:ascii="Consolas" w:cs="Consolas" w:eastAsia="Consolas" w:hAnsi="Consolas"/>
          <w:color w:val="1E40AF"/>
          <w:sz w:val="18"/>
          <w:szCs w:val="18"/>
        </w:rPr>
        <w:t xml:space="preserve">python doc_comparison.py \</w:t>
      </w:r>
    </w:p>
    <w:p>
      <w:pPr>
        <w:spacing w:before="30" w:after="30"/>
        <w:ind w:left="440"/>
      </w:pPr>
      <w:r>
        <w:rPr>
          <w:rFonts w:ascii="Consolas" w:cs="Consolas" w:eastAsia="Consolas" w:hAnsi="Consolas"/>
          <w:color w:val="1E40AF"/>
          <w:sz w:val="18"/>
          <w:szCs w:val="18"/>
        </w:rPr>
        <w:t xml:space="preserve">  --base           contract.pdf \</w:t>
      </w:r>
    </w:p>
    <w:p>
      <w:pPr>
        <w:spacing w:before="30" w:after="30"/>
        <w:ind w:left="440"/>
      </w:pPr>
      <w:r>
        <w:rPr>
          <w:rFonts w:ascii="Consolas" w:cs="Consolas" w:eastAsia="Consolas" w:hAnsi="Consolas"/>
          <w:color w:val="1E40AF"/>
          <w:sz w:val="18"/>
          <w:szCs w:val="18"/>
        </w:rPr>
        <w:t xml:space="preserve">  --compare        offer_letter.docx \</w:t>
      </w:r>
    </w:p>
    <w:p>
      <w:pPr>
        <w:spacing w:before="30" w:after="30"/>
        <w:ind w:left="440"/>
      </w:pPr>
      <w:r>
        <w:rPr>
          <w:rFonts w:ascii="Consolas" w:cs="Consolas" w:eastAsia="Consolas" w:hAnsi="Consolas"/>
          <w:color w:val="1E40AF"/>
          <w:sz w:val="18"/>
          <w:szCs w:val="18"/>
        </w:rPr>
        <w:t xml:space="preserve">  --model          gpt-oss-120b \</w:t>
      </w:r>
    </w:p>
    <w:p>
      <w:pPr>
        <w:spacing w:before="30" w:after="30"/>
        <w:ind w:left="440"/>
      </w:pPr>
      <w:r>
        <w:rPr>
          <w:rFonts w:ascii="Consolas" w:cs="Consolas" w:eastAsia="Consolas" w:hAnsi="Consolas"/>
          <w:color w:val="1E40AF"/>
          <w:sz w:val="18"/>
          <w:szCs w:val="18"/>
        </w:rPr>
        <w:t xml:space="preserve">  --base-url       https://your-endpoint/v1 \</w:t>
      </w:r>
    </w:p>
    <w:p>
      <w:pPr>
        <w:spacing w:before="30" w:after="30"/>
        <w:ind w:left="440"/>
      </w:pPr>
      <w:r>
        <w:rPr>
          <w:rFonts w:ascii="Consolas" w:cs="Consolas" w:eastAsia="Consolas" w:hAnsi="Consolas"/>
          <w:color w:val="1E40AF"/>
          <w:sz w:val="18"/>
          <w:szCs w:val="18"/>
        </w:rPr>
        <w:t xml:space="preserve">  --output         report.md \</w:t>
      </w:r>
    </w:p>
    <w:p>
      <w:pPr>
        <w:spacing w:before="30" w:after="30"/>
        <w:ind w:left="440"/>
      </w:pPr>
      <w:r>
        <w:rPr>
          <w:rFonts w:ascii="Consolas" w:cs="Consolas" w:eastAsia="Consolas" w:hAnsi="Consolas"/>
          <w:color w:val="1E40AF"/>
          <w:sz w:val="18"/>
          <w:szCs w:val="18"/>
        </w:rPr>
        <w:t xml:space="preserve">  --context-limit  131072</w:t>
      </w:r>
    </w:p>
    <w:p>
      <w:r>
        <w:t xml:space="preserve"/>
      </w:r>
    </w:p>
    <w:p>
      <w:pPr>
        <w:pStyle w:val="Heading1"/>
        <w:spacing w:before="400" w:after="160"/>
      </w:pPr>
      <w:r>
        <w:rPr>
          <w:rFonts w:ascii="Calibri" w:cs="Calibri" w:eastAsia="Calibri" w:hAnsi="Calibri"/>
          <w:b/>
          <w:bCs/>
          <w:color w:val="0D1B3E"/>
          <w:sz w:val="36"/>
          <w:szCs w:val="36"/>
        </w:rPr>
        <w:t xml:space="preserve">8. Extension Points</w:t>
      </w:r>
    </w:p>
    <w:p>
      <w:pPr>
        <w:pStyle w:val="ListParagraph"/>
        <w:numPr>
          <w:ilvl w:val="0"/>
          <w:numId w:val="2"/>
        </w:numPr>
        <w:spacing w:before="40" w:after="40"/>
      </w:pPr>
      <w:r>
        <w:rPr>
          <w:rFonts w:ascii="Calibri" w:cs="Calibri" w:eastAsia="Calibri" w:hAnsi="Calibri"/>
          <w:color w:val="0D1B3E"/>
          <w:sz w:val="22"/>
          <w:szCs w:val="22"/>
        </w:rPr>
        <w:t xml:space="preserve">Severity classification — extend DeviationItem with severity: Literal["low", "medium", "high"] and add it to the system prompt schema.</w:t>
      </w:r>
    </w:p>
    <w:p>
      <w:pPr>
        <w:pStyle w:val="ListParagraph"/>
        <w:numPr>
          <w:ilvl w:val="0"/>
          <w:numId w:val="2"/>
        </w:numPr>
        <w:spacing w:before="40" w:after="40"/>
      </w:pPr>
      <w:r>
        <w:rPr>
          <w:rFonts w:ascii="Calibri" w:cs="Calibri" w:eastAsia="Calibri" w:hAnsi="Calibri"/>
          <w:color w:val="0D1B3E"/>
          <w:sz w:val="22"/>
          <w:szCs w:val="22"/>
        </w:rPr>
        <w:t xml:space="preserve">Batch mode — wrap run_comparison() in a loop over a directory of offer letters against a fixed base document.</w:t>
      </w:r>
    </w:p>
    <w:p>
      <w:pPr>
        <w:pStyle w:val="ListParagraph"/>
        <w:numPr>
          <w:ilvl w:val="0"/>
          <w:numId w:val="2"/>
        </w:numPr>
        <w:spacing w:before="40" w:after="40"/>
      </w:pPr>
      <w:r>
        <w:rPr>
          <w:rFonts w:ascii="Calibri" w:cs="Calibri" w:eastAsia="Calibri" w:hAnsi="Calibri"/>
          <w:color w:val="0D1B3E"/>
          <w:sz w:val="22"/>
          <w:szCs w:val="22"/>
        </w:rPr>
        <w:t xml:space="preserve">DOCX output — replace render_markdown() with a python-docx renderer for a formatted Word report.</w:t>
      </w:r>
    </w:p>
    <w:p>
      <w:pPr>
        <w:pStyle w:val="ListParagraph"/>
        <w:numPr>
          <w:ilvl w:val="0"/>
          <w:numId w:val="2"/>
        </w:numPr>
        <w:spacing w:before="40" w:after="40"/>
      </w:pPr>
      <w:r>
        <w:rPr>
          <w:rFonts w:ascii="Calibri" w:cs="Calibri" w:eastAsia="Calibri" w:hAnsi="Calibri"/>
          <w:color w:val="0D1B3E"/>
          <w:sz w:val="22"/>
          <w:szCs w:val="22"/>
        </w:rPr>
        <w:t xml:space="preserve">RAG fallback — if context_limit is too small for the combined documents, fall back to the RAG pipeline by re-introducing the vector store path.</w:t>
      </w:r>
    </w:p>
    <w:p>
      <w:r>
        <w:t xml:space="preserve"/>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026"/>
      </w:tabs>
    </w:pPr>
    <w:r>
      <w:rPr>
        <w:rFonts w:ascii="Calibri" w:cs="Calibri" w:eastAsia="Calibri" w:hAnsi="Calibri"/>
        <w:color w:val="94A3B8"/>
        <w:sz w:val="16"/>
        <w:szCs w:val="16"/>
      </w:rPr>
      <w:t xml:space="preserve">Confidential — Internal Use Only</w:t>
    </w:r>
    <w:r>
      <w:rPr>
        <w:rFonts w:ascii="Calibri" w:cs="Calibri" w:eastAsia="Calibri" w:hAnsi="Calibri"/>
        <w:color w:val="94A3B8"/>
        <w:sz w:val="16"/>
        <w:szCs w:val="16"/>
      </w:rPr>
      <w:t xml:space="preserve">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A4" w:sz="4" w:space="6"/>
      </w:pBdr>
      <w:tabs>
        <w:tab w:val="right" w:pos="9026"/>
      </w:tabs>
    </w:pPr>
    <w:r>
      <w:rPr>
        <w:rFonts w:ascii="Calibri" w:cs="Calibri" w:eastAsia="Calibri" w:hAnsi="Calibri"/>
        <w:b/>
        <w:bCs/>
        <w:color w:val="0A7EA4"/>
        <w:sz w:val="18"/>
        <w:szCs w:val="18"/>
      </w:rPr>
      <w:t xml:space="preserve">Document Comparison Tool</w:t>
    </w:r>
    <w:r>
      <w:rPr>
        <w:rFonts w:ascii="Calibri" w:cs="Calibri" w:eastAsia="Calibri" w:hAnsi="Calibri"/>
        <w:color w:val="94A3B8"/>
        <w:sz w:val="18"/>
        <w:szCs w:val="18"/>
      </w:rPr>
      <w:t xml:space="preserve">	Architecture &amp; Design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D1B3E"/>
      <w:sz w:val="36"/>
      <w:szCs w:val="36"/>
    </w:rPr>
  </w:style>
  <w:style w:type="paragraph" w:styleId="Heading2">
    <w:name w:val="Heading 2"/>
    <w:basedOn w:val="Normal"/>
    <w:next w:val="Normal"/>
    <w:qFormat/>
    <w:pPr>
      <w:spacing w:before="280" w:after="100"/>
      <w:outlineLvl w:val="1"/>
    </w:pPr>
    <w:rPr>
      <w:rFonts w:ascii="Calibri" w:cs="Calibri" w:eastAsia="Calibri" w:hAnsi="Calibri"/>
      <w:b/>
      <w:bCs/>
      <w:color w:val="0A7EA4"/>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2026-03-29T15:55:47.488Z</dcterms:created>
  <dcterms:modified xsi:type="dcterms:W3CDTF">2026-03-29T15:55:47.489Z</dcterms:modified>
</cp:coreProperties>
</file>

<file path=docProps/custom.xml><?xml version="1.0" encoding="utf-8"?>
<Properties xmlns="http://schemas.openxmlformats.org/officeDocument/2006/custom-properties" xmlns:vt="http://schemas.openxmlformats.org/officeDocument/2006/docPropsVTypes"/>
</file>