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203cdd6114ff50e0766c3ff51cccced9816df46"/>
    <w:p>
      <w:pPr>
        <w:pStyle w:val="Heading1"/>
      </w:pPr>
      <w:r>
        <w:t xml:space="preserve">Video 21 — Human-in-the-Loop (HITL) using LangGraph</w:t>
      </w:r>
    </w:p>
    <w:p>
      <w:pPr>
        <w:pStyle w:val="BlockText"/>
      </w:pPr>
      <w:r>
        <w:rPr>
          <w:b/>
          <w:bCs/>
        </w:rPr>
        <w:t xml:space="preserve">CampusX Agentic AI using LangGraph · Playlist position 21 · Theory-first study notes</w:t>
      </w:r>
      <w:r>
        <w:br/>
      </w:r>
      <w:hyperlink r:id="rId20">
        <w:r>
          <w:rPr>
            <w:rStyle w:val="Hyperlink"/>
          </w:rPr>
          <w:t xml:space="preserve">Watch the lesson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Full playlist</w:t>
        </w:r>
      </w:hyperlink>
    </w:p>
    <w:p>
      <w:pPr>
        <w:pStyle w:val="FirstParagraph"/>
      </w:pPr>
      <w:r>
        <w:rPr>
          <w:b/>
          <w:bCs/>
        </w:rPr>
        <w:t xml:space="preserve">Study scope:</w:t>
      </w:r>
      <w:r>
        <w:t xml:space="preserve"> </w:t>
      </w:r>
      <w:r>
        <w:t xml:space="preserve">Important conceptual material and small teaching examples, not a recreation of the tutorial project. These are original explanatory notes based on the video’s public chapter outline and the linked technical sources—not a transcript.</w:t>
      </w:r>
    </w:p>
    <w:p>
      <w:pPr>
        <w:pStyle w:val="BodyText"/>
      </w:pPr>
      <w:r>
        <w:drawing>
          <wp:inline>
            <wp:extent cx="6248400" cy="2116944"/>
            <wp:effectExtent b="0" l="0" r="0" t="0"/>
            <wp:docPr descr="Conceptual flow for Human-in-the-Loop (HITL) using LangGraph" title="" id="23" name="Picture"/>
            <a:graphic>
              <a:graphicData uri="http://schemas.openxmlformats.org/drawingml/2006/picture">
                <pic:pic>
                  <pic:nvPicPr>
                    <pic:cNvPr descr="images/work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11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lesson, you should be able to explain</w:t>
      </w:r>
      <w:r>
        <w:t xml:space="preserve"> </w:t>
      </w:r>
      <w:r>
        <w:rPr>
          <w:b/>
          <w:bCs/>
        </w:rPr>
        <w:t xml:space="preserve">when an autonomous agent should stop and ask a person</w:t>
      </w:r>
      <w:r>
        <w:t xml:space="preserve">, distinguish approval from clarification and output review, and describe how LangGraph's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, a checkpointer, a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Command(resume=...)</w:t>
      </w:r>
      <w:r>
        <w:t xml:space="preserve"> </w:t>
      </w:r>
      <w:r>
        <w:t xml:space="preserve">cooperate.</w:t>
      </w:r>
    </w:p>
    <w:bookmarkEnd w:id="25"/>
    <w:bookmarkStart w:id="26" w:name="X131942451b76a9c02ffde7fe0bc4cfdd339ad68"/>
    <w:p>
      <w:pPr>
        <w:pStyle w:val="Heading2"/>
      </w:pPr>
      <w:r>
        <w:t xml:space="preserve">1. Why human-in-the-loop matters</w:t>
      </w:r>
    </w:p>
    <w:p>
      <w:pPr>
        <w:pStyle w:val="FirstParagraph"/>
      </w:pPr>
      <w:r>
        <w:t xml:space="preserve">An agent can plan, retrieve information and invoke tools, but fluency is not proof that an action is correct or authorized. A mistaken answer is sometimes recoverable; a mistaken payment, deletion, or external message may not be. HITL creates explicit handoff points where the system pauses and a human decides whether or how execution should continue.</w:t>
      </w:r>
    </w:p>
    <w:p>
      <w:pPr>
        <w:pStyle w:val="BodyText"/>
      </w:pPr>
      <w:r>
        <w:t xml:space="preserve">Two motivations are worth keeping distinct: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a human may correct missing facts, ambiguity, uncertain classifications or poor drafts.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Accountability and control:</w:t>
      </w:r>
      <w:r>
        <w:t xml:space="preserve"> </w:t>
      </w:r>
      <w:r>
        <w:t xml:space="preserve">a human remains responsible for sensitive actions, policy exceptions and irreversible side effects. A correct-looking model output still requires authorization if the action is high impact.</w:t>
      </w:r>
    </w:p>
    <w:p>
      <w:pPr>
        <w:pStyle w:val="FirstParagraph"/>
      </w:pPr>
      <w:r>
        <w:t xml:space="preserve">HITL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a person approves every generated token. Over-review slows the workflow and produces approval fatigue; place gates where consequences, uncertainty or legal requirements justify them.</w:t>
      </w:r>
    </w:p>
    <w:bookmarkEnd w:id="26"/>
    <w:bookmarkStart w:id="27" w:name="Xe53ce660022206b48c2e492e5d023d306c0d13b"/>
    <w:p>
      <w:pPr>
        <w:pStyle w:val="Heading2"/>
      </w:pPr>
      <w:r>
        <w:t xml:space="preserve">2. Four practical HITL patterns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419"/>
        <w:gridCol w:w="2419"/>
        <w:gridCol w:w="2419"/>
        <w:gridCol w:w="2419"/>
      </w:tblGrid>
      <w:tr>
        <w:trPr>
          <w:tblHeader w:val="on"/>
        </w:trPr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Pattern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Trigger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Human provides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Example</w:t>
            </w:r>
          </w:p>
        </w:tc>
      </w:tr>
      <w:tr>
        <w:trPr/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Action approval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Before a side-effecting tool runs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Approve / deny / sometimes edit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Release an invoice or send an email</w:t>
            </w:r>
          </w:p>
        </w:tc>
      </w:tr>
      <w:tr>
        <w:trPr/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Output review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Before draft is published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Corrections or replacement text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Review a customer-facing response</w:t>
            </w:r>
          </w:p>
        </w:tc>
      </w:tr>
      <w:tr>
        <w:trPr/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Clarification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User request lacks a needed fact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A missing value or choice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Which account should be charged?</w:t>
            </w:r>
          </w:p>
        </w:tc>
      </w:tr>
      <w:tr>
        <w:trPr/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Escalation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System cannot safely decide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Human resolution</w:t>
            </w:r>
          </w:p>
        </w:tc>
        <w:tc>
          <w:tcPr>
            <w:tcW w:type="dxa" w:w="2419"/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 xml:space="preserve">Disputed refund or compliance exception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an agent drafts a refund of $500. Rather than executing the payment immediately, it produces a structured approval request containing the amount, payee, reason, and risk. The reviewer approves or rejects it; only an approved path reaches the actual payment tool.</w:t>
      </w:r>
    </w:p>
    <w:bookmarkEnd w:id="27"/>
    <w:bookmarkStart w:id="29" w:name="X5771ec384ed4771c941c1c04609c9c52173398e"/>
    <w:p>
      <w:pPr>
        <w:pStyle w:val="Heading2"/>
      </w:pPr>
      <w:r>
        <w:t xml:space="preserve">3. LangGraph's pause-and-resume lifecycle</w:t>
      </w:r>
    </w:p>
    <w:p>
      <w:pPr>
        <w:pStyle w:val="FirstParagraph"/>
      </w:pPr>
      <w:r>
        <w:t xml:space="preserve">LangGraph's dynamic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pauses the graph</w:t>
      </w:r>
      <w:r>
        <w:t xml:space="preserve"> </w:t>
      </w:r>
      <w:r>
        <w:rPr>
          <w:b/>
          <w:bCs/>
        </w:rPr>
        <w:t xml:space="preserve">inside a node</w:t>
      </w:r>
      <w:r>
        <w:t xml:space="preserve"> </w:t>
      </w:r>
      <w:r>
        <w:t xml:space="preserve">and returns a serializable request to the caller. A</w:t>
      </w:r>
      <w:r>
        <w:t xml:space="preserve"> </w:t>
      </w:r>
      <w:r>
        <w:rPr>
          <w:b/>
          <w:bCs/>
        </w:rPr>
        <w:t xml:space="preserve">checkpointer</w:t>
      </w:r>
      <w:r>
        <w:t xml:space="preserve"> </w:t>
      </w:r>
      <w:r>
        <w:t xml:space="preserve">saves state. The caller retains a stable</w:t>
      </w:r>
      <w:r>
        <w:t xml:space="preserve"> </w:t>
      </w:r>
      <w:r>
        <w:rPr>
          <w:b/>
          <w:bCs/>
        </w:rPr>
        <w:t xml:space="preserve">thread ID</w:t>
      </w:r>
      <w:r>
        <w:t xml:space="preserve"> </w:t>
      </w:r>
      <w:r>
        <w:t xml:space="preserve">identifying the interrupted run, collects input from a reviewer, then resumes with</w:t>
      </w:r>
      <w:r>
        <w:t xml:space="preserve"> </w:t>
      </w:r>
      <w:r>
        <w:rPr>
          <w:rStyle w:val="VerbatimChar"/>
        </w:rPr>
        <w:t xml:space="preserve">Command(resume=value)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the same thread ID</w:t>
      </w:r>
      <w:r>
        <w:t xml:space="preserve">. The resumed value becomes the return value of the paused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call.</w:t>
      </w:r>
    </w:p>
    <w:p>
      <w:pPr>
        <w:pStyle w:val="BodyText"/>
      </w:pPr>
      <w:r>
        <w:t xml:space="preserve">A crucial nuance:</w:t>
      </w:r>
      <w:r>
        <w:t xml:space="preserve"> </w:t>
      </w:r>
      <w:r>
        <w:rPr>
          <w:b/>
          <w:bCs/>
        </w:rPr>
        <w:t xml:space="preserve">when resumed, the node executes again from its beginning.</w:t>
      </w:r>
      <w:r>
        <w:t xml:space="preserve"> </w:t>
      </w:r>
      <w:r>
        <w:t xml:space="preserve">Code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interrupt can run again. Do not put a charge, send, delete, or non-idempotent operation before an interrupt; put the approval first, then perform the side effect exactly once using an idempotency key where possible.</w:t>
      </w:r>
    </w:p>
    <w:bookmarkStart w:id="28" w:name="minimal-teaching-example"/>
    <w:p>
      <w:pPr>
        <w:pStyle w:val="Heading3"/>
      </w:pPr>
      <w:r>
        <w:t xml:space="preserve">Minimal teaching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typing_extensions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request: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approved: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get_approval(state: State):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"Approve this action?"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(decision)}</w:t>
      </w:r>
      <w:r>
        <w:br/>
      </w:r>
      <w:r>
        <w:br/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"approval"</w:t>
      </w:r>
      <w:r>
        <w:rPr>
          <w:rStyle w:val="NormalTok"/>
        </w:rPr>
        <w:t xml:space="preserve">, get_approval)</w:t>
      </w:r>
      <w:r>
        <w:br/>
      </w:r>
      <w:r>
        <w:rPr>
          <w:rStyle w:val="NormalTok"/>
        </w:rPr>
        <w:t xml:space="preserve">builder.add_edge(START, </w:t>
      </w:r>
      <w:r>
        <w:rPr>
          <w:rStyle w:val="StringTok"/>
        </w:rPr>
        <w:t xml:space="preserve">"approval"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builder.add_edge(</w:t>
      </w:r>
      <w:r>
        <w:rPr>
          <w:rStyle w:val="StringTok"/>
        </w:rPr>
        <w:t xml:space="preserve">"approval"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"demo-approval-001"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"Publish draft"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  <w:r>
        <w:br/>
      </w:r>
      <w:r>
        <w:rPr>
          <w:rStyle w:val="CommentTok"/>
        </w:rPr>
        <w:t xml:space="preserve"># Show the interrupt request to a reviewer; collect the answer.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app.invoke(Command(resume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This illustrates</w:t>
      </w:r>
      <w:r>
        <w:t xml:space="preserve"> </w:t>
      </w:r>
      <w:r>
        <w:rPr>
          <w:b/>
          <w:bCs/>
        </w:rPr>
        <w:t xml:space="preserve">pausing and resuming only</w:t>
      </w:r>
      <w:r>
        <w:t xml:space="preserve">; it does not actually publish anything.</w:t>
      </w:r>
      <w:r>
        <w:t xml:space="preserve"> </w:t>
      </w:r>
      <w:r>
        <w:rPr>
          <w:rStyle w:val="VerbatimChar"/>
        </w:rPr>
        <w:t xml:space="preserve">InMemorySaver</w:t>
      </w:r>
      <w:r>
        <w:t xml:space="preserve"> </w:t>
      </w:r>
      <w:r>
        <w:t xml:space="preserve">is convenient for demonstration, but a production system needs persistent checkpoint storage and authentication for the approving reviewer.</w:t>
      </w:r>
    </w:p>
    <w:bookmarkEnd w:id="28"/>
    <w:bookmarkEnd w:id="29"/>
    <w:bookmarkStart w:id="30" w:name="Xf2c2ff19c8e51f0d91acc2848343a668acba8f6"/>
    <w:p>
      <w:pPr>
        <w:pStyle w:val="Heading2"/>
      </w:pPr>
      <w:r>
        <w:t xml:space="preserve">4. Static checkpoints vs. dynamic interrupts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breakpoints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interrupt_before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interrupt_after</w:t>
      </w:r>
      <w:r>
        <w:t xml:space="preserve"> </w:t>
      </w:r>
      <w:r>
        <w:t xml:space="preserve">when supported) are useful during debugging and inspection at node boundaries.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interrupts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inside a node) can carry a question and be conditioned on state: e.g., request approval only if</w:t>
      </w:r>
      <w:r>
        <w:t xml:space="preserve"> </w:t>
      </w:r>
      <w:r>
        <w:rPr>
          <w:rStyle w:val="VerbatimChar"/>
        </w:rPr>
        <w:t xml:space="preserve">amount &gt; policy_limit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Tool-level approvals</w:t>
      </w:r>
      <w:r>
        <w:t xml:space="preserve"> </w:t>
      </w:r>
      <w:r>
        <w:t xml:space="preserve">intercept sensitive tool calls; the agent can still autonomously perform low-risk read-only calls.</w:t>
      </w:r>
    </w:p>
    <w:p>
      <w:pPr>
        <w:pStyle w:val="FirstParagraph"/>
      </w:pPr>
      <w:r>
        <w:t xml:space="preserve">A human approval event should be logged with reviewer identity, timestamp, exact proposed action, decision, and resulting execution. This is an</w:t>
      </w:r>
      <w:r>
        <w:t xml:space="preserve"> </w:t>
      </w:r>
      <w:r>
        <w:rPr>
          <w:b/>
          <w:bCs/>
        </w:rPr>
        <w:t xml:space="preserve">application design recommendation</w:t>
      </w:r>
      <w:r>
        <w:t xml:space="preserve">, not something automatically supplied by the graph.</w:t>
      </w:r>
    </w:p>
    <w:bookmarkEnd w:id="30"/>
    <w:bookmarkStart w:id="31" w:name="X9ac9302e61302cc8f15c1f55163663525314533"/>
    <w:p>
      <w:pPr>
        <w:pStyle w:val="Heading2"/>
      </w:pPr>
      <w:r>
        <w:t xml:space="preserve">5. Robust design checklist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Specify the review boundary:</w:t>
      </w:r>
      <w:r>
        <w:t xml:space="preserve"> </w:t>
      </w:r>
      <w:r>
        <w:t xml:space="preserve">which action will happen only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human approves?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 requests comprehensible:</w:t>
      </w:r>
      <w:r>
        <w:t xml:space="preserve"> </w:t>
      </w:r>
      <w:r>
        <w:t xml:space="preserve">pass a minimal, structured, non-secret summary to the reviewer.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Persist across restarts:</w:t>
      </w:r>
      <w:r>
        <w:t xml:space="preserve"> </w:t>
      </w:r>
      <w:r>
        <w:t xml:space="preserve">use a durable checkpointer; keep the same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for resume.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Treat resume values as untrusted input:</w:t>
      </w:r>
      <w:r>
        <w:t xml:space="preserve"> </w:t>
      </w:r>
      <w:r>
        <w:t xml:space="preserve">validate allowed decisions and edited fields.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Prevent replayed side effects:</w:t>
      </w:r>
      <w:r>
        <w:t xml:space="preserve"> </w:t>
      </w:r>
      <w:r>
        <w:t xml:space="preserve">remember that the paused node restarts, and use idempotent operations.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 denial and timeouts:</w:t>
      </w:r>
      <w:r>
        <w:t xml:space="preserve"> </w:t>
      </w:r>
      <w:r>
        <w:t xml:space="preserve">explicitly route to cancellation, revision or escalation.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both branches:</w:t>
      </w:r>
      <w:r>
        <w:t xml:space="preserve"> </w:t>
      </w:r>
      <w:r>
        <w:t xml:space="preserve">approval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rejection should be correct and auditable.</w:t>
      </w:r>
    </w:p>
    <w:bookmarkEnd w:id="31"/>
    <w:bookmarkStart w:id="32" w:name="X4b7ca8be9d6b9d9a106b9b9d46a0487bf863361"/>
    <w:p>
      <w:pPr>
        <w:pStyle w:val="Heading2"/>
      </w:pPr>
      <w:r>
        <w:t xml:space="preserve">6. Key distinctions and misconceptions</w:t>
      </w:r>
    </w:p>
    <w:p>
      <w:pPr>
        <w:pStyle w:val="FirstParagraph"/>
      </w:pPr>
      <w:r>
        <w:rPr>
          <w:b/>
          <w:bCs/>
        </w:rPr>
        <w:t xml:space="preserve">Approval is not evaluation.</w:t>
      </w:r>
      <w:r>
        <w:t xml:space="preserve"> </w:t>
      </w:r>
      <w:r>
        <w:t xml:space="preserve">A judge-model score is not the same as human authorization.</w:t>
      </w:r>
      <w:r>
        <w:t xml:space="preserve"> </w:t>
      </w:r>
      <w:r>
        <w:rPr>
          <w:b/>
          <w:bCs/>
        </w:rPr>
        <w:t xml:space="preserve">Persistence is not memory personalization.</w:t>
      </w:r>
      <w:r>
        <w:t xml:space="preserve"> </w:t>
      </w:r>
      <w:r>
        <w:t xml:space="preserve">Checkpointing saves execution state for continuation; it is not automatically a store of reusable user preferences.</w:t>
      </w:r>
      <w:r>
        <w:t xml:space="preserve"> </w:t>
      </w:r>
      <w:r>
        <w:rPr>
          <w:b/>
          <w:bCs/>
        </w:rPr>
        <w:t xml:space="preserve">Paused is not finished.</w:t>
      </w:r>
      <w:r>
        <w:t xml:space="preserve"> </w:t>
      </w:r>
      <w:r>
        <w:t xml:space="preserve">An interrupt leaves the graph incomplete until a valid resume input arrives.</w:t>
      </w:r>
    </w:p>
    <w:bookmarkEnd w:id="32"/>
    <w:bookmarkStart w:id="34" w:name="Xee664ca06a555097808f789a94259847ac0f801"/>
    <w:p>
      <w:pPr>
        <w:pStyle w:val="Heading2"/>
      </w:pPr>
      <w:r>
        <w:t xml:space="preserve">7. Quick revision</w:t>
      </w:r>
    </w:p>
    <w:p>
      <w:pPr>
        <w:pStyle w:val="Compact"/>
        <w:numPr>
          <w:ilvl w:val="0"/>
          <w:numId w:val="1004"/>
        </w:numPr>
      </w:pPr>
      <w:r>
        <w:t xml:space="preserve">HITL trades a small amount of autonomy for safer decisions and human accountability.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+ a checkpointer + stable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to pause;</w:t>
      </w:r>
      <w:r>
        <w:t xml:space="preserve"> </w:t>
      </w:r>
      <w:r>
        <w:rPr>
          <w:rStyle w:val="VerbatimChar"/>
        </w:rPr>
        <w:t xml:space="preserve">Command(resume=...)</w:t>
      </w:r>
      <w:r>
        <w:t xml:space="preserve"> </w:t>
      </w:r>
      <w:r>
        <w:t xml:space="preserve">to continue.</w:t>
      </w:r>
    </w:p>
    <w:p>
      <w:pPr>
        <w:pStyle w:val="Compact"/>
        <w:numPr>
          <w:ilvl w:val="0"/>
          <w:numId w:val="1004"/>
        </w:numPr>
      </w:pPr>
      <w:r>
        <w:t xml:space="preserve">The node is re-executed from its beginning when it resumes: keep side effects after the approval gate.</w:t>
      </w:r>
    </w:p>
    <w:p>
      <w:pPr>
        <w:pStyle w:val="Compact"/>
        <w:numPr>
          <w:ilvl w:val="0"/>
          <w:numId w:val="1004"/>
        </w:numPr>
      </w:pPr>
      <w:r>
        <w:t xml:space="preserve">Prefer risk-based gates over blanket approval for every step.</w:t>
      </w:r>
    </w:p>
    <w:bookmarkStart w:id="33" w:name="self-check-questions"/>
    <w:p>
      <w:pPr>
        <w:pStyle w:val="Heading3"/>
      </w:pPr>
      <w:r>
        <w:t xml:space="preserve">Self-check questions</w:t>
      </w:r>
    </w:p>
    <w:p>
      <w:pPr>
        <w:pStyle w:val="Compact"/>
        <w:numPr>
          <w:ilvl w:val="0"/>
          <w:numId w:val="1005"/>
        </w:numPr>
      </w:pPr>
      <w:r>
        <w:t xml:space="preserve">Why is an approval gate more important for a payment tool than for a read-only search tool?</w:t>
      </w:r>
    </w:p>
    <w:p>
      <w:pPr>
        <w:pStyle w:val="Compact"/>
        <w:numPr>
          <w:ilvl w:val="0"/>
          <w:numId w:val="1005"/>
        </w:numPr>
      </w:pPr>
      <w:r>
        <w:t xml:space="preserve">Which three components are needed for a resumable LangGraph interrupt?</w:t>
      </w:r>
    </w:p>
    <w:p>
      <w:pPr>
        <w:pStyle w:val="Compact"/>
        <w:numPr>
          <w:ilvl w:val="0"/>
          <w:numId w:val="1005"/>
        </w:numPr>
      </w:pPr>
      <w:r>
        <w:t xml:space="preserve">What dangerous behavior can occur if a network request runs before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How would your graph represent a reviewer rejecting a proposed action?</w:t>
      </w:r>
    </w:p>
    <w:p>
      <w:pPr>
        <w:pStyle w:val="FirstParagraph"/>
      </w:pPr>
      <w:r>
        <w:rPr>
          <w:b/>
          <w:bCs/>
        </w:rPr>
        <w:t xml:space="preserve">Suggested answers:</w:t>
      </w:r>
      <w:r>
        <w:t xml:space="preserve"> </w:t>
      </w:r>
      <w:r>
        <w:t xml:space="preserve">(1) payments create side effects; (2) interrupt, checkpointer, thread ID (plus resume command to continue); (3) the request may be repeated; (4) route to a cancel/revise branch without executing the action.</w:t>
      </w:r>
    </w:p>
    <w:bookmarkEnd w:id="33"/>
    <w:bookmarkEnd w:id="34"/>
    <w:bookmarkStart w:id="38" w:name="visual-recap"/>
    <w:p>
      <w:pPr>
        <w:pStyle w:val="Heading2"/>
      </w:pPr>
      <w:r>
        <w:t xml:space="preserve">Visual recap</w:t>
      </w:r>
    </w:p>
    <w:p>
      <w:pPr>
        <w:pStyle w:val="FirstParagraph"/>
      </w:pPr>
      <w:r>
        <w:drawing>
          <wp:inline>
            <wp:extent cx="6248400" cy="1894034"/>
            <wp:effectExtent b="0" l="0" r="0" t="0"/>
            <wp:docPr descr="Key concept map for Human-in-the-Loop (HITL) using LangGraph" title="" id="36" name="Picture"/>
            <a:graphic>
              <a:graphicData uri="http://schemas.openxmlformats.org/drawingml/2006/picture">
                <pic:pic>
                  <pic:nvPicPr>
                    <pic:cNvPr descr="images/concept_ma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89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50" w:name="clickable-video-chapters"/>
    <w:p>
      <w:pPr>
        <w:pStyle w:val="Heading2"/>
      </w:pPr>
      <w:r>
        <w:t xml:space="preserve">Clickable video chapters</w:t>
      </w:r>
    </w:p>
    <w:p>
      <w:pPr>
        <w:pStyle w:val="Compact"/>
        <w:numPr>
          <w:ilvl w:val="0"/>
          <w:numId w:val="1006"/>
        </w:numPr>
      </w:pPr>
      <w:hyperlink r:id="rId39">
        <w:r>
          <w:rPr>
            <w:rStyle w:val="Hyperlink"/>
          </w:rPr>
          <w:t xml:space="preserve">00:00:00 — Introduction: What is Human-in-the-Loop?</w:t>
        </w:r>
      </w:hyperlink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00:01:14 — Why agents need human oversight</w:t>
        </w:r>
      </w:hyperlink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00:03:44 — Real-world HITL examples</w:t>
        </w:r>
      </w:hyperlink>
    </w:p>
    <w:p>
      <w:pPr>
        <w:pStyle w:val="Compact"/>
        <w:numPr>
          <w:ilvl w:val="0"/>
          <w:numId w:val="1006"/>
        </w:numPr>
      </w:pPr>
      <w:hyperlink r:id="rId42">
        <w:r>
          <w:rPr>
            <w:rStyle w:val="Hyperlink"/>
          </w:rPr>
          <w:t xml:space="preserve">00:04:22 — Accuracy and accountability</w:t>
        </w:r>
      </w:hyperlink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00:08:46 — Benefits of HITL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00:11:36 — Common HITL patterns</w:t>
        </w:r>
      </w:hyperlink>
    </w:p>
    <w:p>
      <w:pPr>
        <w:pStyle w:val="Compact"/>
        <w:numPr>
          <w:ilvl w:val="0"/>
          <w:numId w:val="1006"/>
        </w:numPr>
      </w:pPr>
      <w:hyperlink r:id="rId45">
        <w:r>
          <w:rPr>
            <w:rStyle w:val="Hyperlink"/>
          </w:rPr>
          <w:t xml:space="preserve">00:14:21 — LangGraph perspective</w:t>
        </w:r>
      </w:hyperlink>
    </w:p>
    <w:p>
      <w:pPr>
        <w:pStyle w:val="Compact"/>
        <w:numPr>
          <w:ilvl w:val="0"/>
          <w:numId w:val="1006"/>
        </w:numPr>
      </w:pPr>
      <w:hyperlink r:id="rId46">
        <w:r>
          <w:rPr>
            <w:rStyle w:val="Hyperlink"/>
          </w:rPr>
          <w:t xml:space="preserve">00:16:30 — Interrupt workflow</w:t>
        </w:r>
      </w:hyperlink>
    </w:p>
    <w:p>
      <w:pPr>
        <w:pStyle w:val="Compact"/>
        <w:numPr>
          <w:ilvl w:val="0"/>
          <w:numId w:val="1006"/>
        </w:numPr>
      </w:pPr>
      <w:hyperlink r:id="rId47">
        <w:r>
          <w:rPr>
            <w:rStyle w:val="Hyperlink"/>
          </w:rPr>
          <w:t xml:space="preserve">00:22:49 — Basic HITL code</w:t>
        </w:r>
      </w:hyperlink>
    </w:p>
    <w:p>
      <w:pPr>
        <w:pStyle w:val="Compact"/>
        <w:numPr>
          <w:ilvl w:val="0"/>
          <w:numId w:val="1006"/>
        </w:numPr>
      </w:pPr>
      <w:hyperlink r:id="rId48">
        <w:r>
          <w:rPr>
            <w:rStyle w:val="Hyperlink"/>
          </w:rPr>
          <w:t xml:space="preserve">00:31:22 — Tool-using chatbot example</w:t>
        </w:r>
      </w:hyperlink>
    </w:p>
    <w:p>
      <w:pPr>
        <w:pStyle w:val="Compact"/>
        <w:numPr>
          <w:ilvl w:val="0"/>
          <w:numId w:val="1006"/>
        </w:numPr>
      </w:pPr>
      <w:hyperlink r:id="rId49">
        <w:r>
          <w:rPr>
            <w:rStyle w:val="Hyperlink"/>
          </w:rPr>
          <w:t xml:space="preserve">00:39:42 — Key takeaways</w:t>
        </w:r>
      </w:hyperlink>
    </w:p>
    <w:bookmarkEnd w:id="50"/>
    <w:bookmarkStart w:id="53" w:name="references-and-further-reading"/>
    <w:p>
      <w:pPr>
        <w:pStyle w:val="Heading2"/>
      </w:pPr>
      <w:r>
        <w:t xml:space="preserve">References and further reading</w:t>
      </w:r>
    </w:p>
    <w:p>
      <w:pPr>
        <w:pStyle w:val="Compact"/>
        <w:numPr>
          <w:ilvl w:val="0"/>
          <w:numId w:val="1007"/>
        </w:numPr>
      </w:pPr>
      <w:hyperlink r:id="rId51">
        <w:r>
          <w:rPr>
            <w:rStyle w:val="Hyperlink"/>
          </w:rPr>
          <w:t xml:space="preserve">CampusX video and chapter list</w:t>
        </w:r>
      </w:hyperlink>
    </w:p>
    <w:p>
      <w:pPr>
        <w:pStyle w:val="Compact"/>
        <w:numPr>
          <w:ilvl w:val="0"/>
          <w:numId w:val="1007"/>
        </w:numPr>
      </w:pPr>
      <w:hyperlink r:id="rId52">
        <w:r>
          <w:rPr>
            <w:rStyle w:val="Hyperlink"/>
          </w:rPr>
          <w:t xml:space="preserve">Official LangGraph interrupts guide</w:t>
        </w:r>
      </w:hyperlink>
    </w:p>
    <w:p>
      <w:pPr>
        <w:pStyle w:val="FirstParagraph"/>
      </w:pPr>
      <w:r>
        <w:rPr>
          <w:i/>
          <w:iCs/>
        </w:rPr>
        <w:t xml:space="preserve">Prepared October 2026. Figures are original study diagrams, not screenshots or official CampusX illustrations. Some APIs may change; consult the linked official references before production use.</w:t>
      </w:r>
    </w:p>
    <w:bookmarkEnd w:id="53"/>
    <w:bookmarkEnd w:id="54"/>
    <w:sectPr w:rsidR="00FC693F" w:rsidRPr="0006063C" w:rsidSect="00034616">
      <w:headerReference r:id="rId9" w:type="default"/>
      <w:footerReference r:id="rId10" w:type="default"/>
      <w:pgSz w:h="15840" w:w="12240"/>
      <w:pgMar w:bottom="864" w:footer="720" w:gutter="0" w:header="720" w:left="1195" w:right="1195" w:top="97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Independent study notes  •  white-theme edition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CAMPUSX  /  LANGGRAPH THEORY NOTES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6" w:lineRule="auto"/>
    </w:pPr>
    <w:rPr>
      <w:rFonts w:ascii="Aptos" w:hAnsi="Aptos"/>
      <w:color w:val="283541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40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ptos" w:asciiTheme="majorHAnsi" w:cstheme="majorBidi" w:eastAsiaTheme="majorEastAsia" w:hAnsi="Aptos" w:hAnsiTheme="majorHAnsi"/>
      <w:b/>
      <w:bCs/>
      <w:color w:val="225271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ptos" w:asciiTheme="majorHAnsi" w:cstheme="majorBidi" w:eastAsiaTheme="majorEastAsia" w:hAnsi="Aptos" w:hAnsiTheme="majorHAnsi"/>
      <w:b/>
      <w:bCs/>
      <w:color w:val="1F4D68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2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952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" w:asciiTheme="majorHAnsi" w:cstheme="majorBidi" w:eastAsiaTheme="majorEastAsia" w:hAnsi="Aptos" w:hAnsiTheme="majorHAnsi"/>
      <w:b w:val="0"/>
      <w:i/>
      <w:iCs/>
      <w:color w:val="4B6674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5" Type="http://schemas.openxmlformats.org/officeDocument/2006/relationships/image" Target="media/rId35.png"/><Relationship Id="rId22" Type="http://schemas.openxmlformats.org/officeDocument/2006/relationships/image" Target="media/rId22.png"/><Relationship Id="rId52" Type="http://schemas.openxmlformats.org/officeDocument/2006/relationships/hyperlink" Target="https://docs.langchain.com/oss/python/langgraph/interrupts" TargetMode="External"/><Relationship Id="rId51" Type="http://schemas.openxmlformats.org/officeDocument/2006/relationships/hyperlink" Target="https://playlist.tools/playlist/PLKnIA16_RmvYsvB8qkUQuJmJNuiCUJFPL/xxqZzVZ4gE0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xxqZzVZ4gE0&amp;list=PLKnIA16_RmvYsvB8qkUQuJmJNuiCUJFPL&amp;index=21" TargetMode="External"/><Relationship Id="rId39" Type="http://schemas.openxmlformats.org/officeDocument/2006/relationships/hyperlink" Target="https://www.youtube.com/watch?v=xxqZzVZ4gE0&amp;list=PLKnIA16_RmvYsvB8qkUQuJmJNuiCUJFPL&amp;index=21&amp;t=0s" TargetMode="External"/><Relationship Id="rId47" Type="http://schemas.openxmlformats.org/officeDocument/2006/relationships/hyperlink" Target="https://www.youtube.com/watch?v=xxqZzVZ4gE0&amp;list=PLKnIA16_RmvYsvB8qkUQuJmJNuiCUJFPL&amp;index=21&amp;t=1369s" TargetMode="External"/><Relationship Id="rId48" Type="http://schemas.openxmlformats.org/officeDocument/2006/relationships/hyperlink" Target="https://www.youtube.com/watch?v=xxqZzVZ4gE0&amp;list=PLKnIA16_RmvYsvB8qkUQuJmJNuiCUJFPL&amp;index=21&amp;t=1882s" TargetMode="External"/><Relationship Id="rId41" Type="http://schemas.openxmlformats.org/officeDocument/2006/relationships/hyperlink" Target="https://www.youtube.com/watch?v=xxqZzVZ4gE0&amp;list=PLKnIA16_RmvYsvB8qkUQuJmJNuiCUJFPL&amp;index=21&amp;t=224s" TargetMode="External"/><Relationship Id="rId49" Type="http://schemas.openxmlformats.org/officeDocument/2006/relationships/hyperlink" Target="https://www.youtube.com/watch?v=xxqZzVZ4gE0&amp;list=PLKnIA16_RmvYsvB8qkUQuJmJNuiCUJFPL&amp;index=21&amp;t=2382s" TargetMode="External"/><Relationship Id="rId42" Type="http://schemas.openxmlformats.org/officeDocument/2006/relationships/hyperlink" Target="https://www.youtube.com/watch?v=xxqZzVZ4gE0&amp;list=PLKnIA16_RmvYsvB8qkUQuJmJNuiCUJFPL&amp;index=21&amp;t=262s" TargetMode="External"/><Relationship Id="rId43" Type="http://schemas.openxmlformats.org/officeDocument/2006/relationships/hyperlink" Target="https://www.youtube.com/watch?v=xxqZzVZ4gE0&amp;list=PLKnIA16_RmvYsvB8qkUQuJmJNuiCUJFPL&amp;index=21&amp;t=526s" TargetMode="External"/><Relationship Id="rId44" Type="http://schemas.openxmlformats.org/officeDocument/2006/relationships/hyperlink" Target="https://www.youtube.com/watch?v=xxqZzVZ4gE0&amp;list=PLKnIA16_RmvYsvB8qkUQuJmJNuiCUJFPL&amp;index=21&amp;t=696s" TargetMode="External"/><Relationship Id="rId40" Type="http://schemas.openxmlformats.org/officeDocument/2006/relationships/hyperlink" Target="https://www.youtube.com/watch?v=xxqZzVZ4gE0&amp;list=PLKnIA16_RmvYsvB8qkUQuJmJNuiCUJFPL&amp;index=21&amp;t=74s" TargetMode="External"/><Relationship Id="rId45" Type="http://schemas.openxmlformats.org/officeDocument/2006/relationships/hyperlink" Target="https://www.youtube.com/watch?v=xxqZzVZ4gE0&amp;list=PLKnIA16_RmvYsvB8qkUQuJmJNuiCUJFPL&amp;index=21&amp;t=861s" TargetMode="External"/><Relationship Id="rId46" Type="http://schemas.openxmlformats.org/officeDocument/2006/relationships/hyperlink" Target="https://www.youtube.com/watch?v=xxqZzVZ4gE0&amp;list=PLKnIA16_RmvYsvB8qkUQuJmJNuiCUJFPL&amp;index=21&amp;t=990s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https://docs.langchain.com/oss/python/langgraph/interrupts" TargetMode="External"/><Relationship Id="rId51" Type="http://schemas.openxmlformats.org/officeDocument/2006/relationships/hyperlink" Target="https://playlist.tools/playlist/PLKnIA16_RmvYsvB8qkUQuJmJNuiCUJFPL/xxqZzVZ4gE0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xxqZzVZ4gE0&amp;list=PLKnIA16_RmvYsvB8qkUQuJmJNuiCUJFPL&amp;index=21" TargetMode="External"/><Relationship Id="rId39" Type="http://schemas.openxmlformats.org/officeDocument/2006/relationships/hyperlink" Target="https://www.youtube.com/watch?v=xxqZzVZ4gE0&amp;list=PLKnIA16_RmvYsvB8qkUQuJmJNuiCUJFPL&amp;index=21&amp;t=0s" TargetMode="External"/><Relationship Id="rId47" Type="http://schemas.openxmlformats.org/officeDocument/2006/relationships/hyperlink" Target="https://www.youtube.com/watch?v=xxqZzVZ4gE0&amp;list=PLKnIA16_RmvYsvB8qkUQuJmJNuiCUJFPL&amp;index=21&amp;t=1369s" TargetMode="External"/><Relationship Id="rId48" Type="http://schemas.openxmlformats.org/officeDocument/2006/relationships/hyperlink" Target="https://www.youtube.com/watch?v=xxqZzVZ4gE0&amp;list=PLKnIA16_RmvYsvB8qkUQuJmJNuiCUJFPL&amp;index=21&amp;t=1882s" TargetMode="External"/><Relationship Id="rId41" Type="http://schemas.openxmlformats.org/officeDocument/2006/relationships/hyperlink" Target="https://www.youtube.com/watch?v=xxqZzVZ4gE0&amp;list=PLKnIA16_RmvYsvB8qkUQuJmJNuiCUJFPL&amp;index=21&amp;t=224s" TargetMode="External"/><Relationship Id="rId49" Type="http://schemas.openxmlformats.org/officeDocument/2006/relationships/hyperlink" Target="https://www.youtube.com/watch?v=xxqZzVZ4gE0&amp;list=PLKnIA16_RmvYsvB8qkUQuJmJNuiCUJFPL&amp;index=21&amp;t=2382s" TargetMode="External"/><Relationship Id="rId42" Type="http://schemas.openxmlformats.org/officeDocument/2006/relationships/hyperlink" Target="https://www.youtube.com/watch?v=xxqZzVZ4gE0&amp;list=PLKnIA16_RmvYsvB8qkUQuJmJNuiCUJFPL&amp;index=21&amp;t=262s" TargetMode="External"/><Relationship Id="rId43" Type="http://schemas.openxmlformats.org/officeDocument/2006/relationships/hyperlink" Target="https://www.youtube.com/watch?v=xxqZzVZ4gE0&amp;list=PLKnIA16_RmvYsvB8qkUQuJmJNuiCUJFPL&amp;index=21&amp;t=526s" TargetMode="External"/><Relationship Id="rId44" Type="http://schemas.openxmlformats.org/officeDocument/2006/relationships/hyperlink" Target="https://www.youtube.com/watch?v=xxqZzVZ4gE0&amp;list=PLKnIA16_RmvYsvB8qkUQuJmJNuiCUJFPL&amp;index=21&amp;t=696s" TargetMode="External"/><Relationship Id="rId40" Type="http://schemas.openxmlformats.org/officeDocument/2006/relationships/hyperlink" Target="https://www.youtube.com/watch?v=xxqZzVZ4gE0&amp;list=PLKnIA16_RmvYsvB8qkUQuJmJNuiCUJFPL&amp;index=21&amp;t=74s" TargetMode="External"/><Relationship Id="rId45" Type="http://schemas.openxmlformats.org/officeDocument/2006/relationships/hyperlink" Target="https://www.youtube.com/watch?v=xxqZzVZ4gE0&amp;list=PLKnIA16_RmvYsvB8qkUQuJmJNuiCUJFPL&amp;index=21&amp;t=861s" TargetMode="External"/><Relationship Id="rId46" Type="http://schemas.openxmlformats.org/officeDocument/2006/relationships/hyperlink" Target="https://www.youtube.com/watch?v=xxqZzVZ4gE0&amp;list=PLKnIA16_RmvYsvB8qkUQuJmJNuiCUJFPL&amp;index=21&amp;t=99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2026-10-28T21:47:45Z</dcterms:created>
  <dcterms:modified xsi:type="dcterms:W3CDTF">2026-10-28T21:47:45Z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