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Development Assessment Report (DRAFT)</w:t>
      </w:r>
    </w:p>
    <w:p>
      <w:r>
        <w:t>DRAFT — prepared by Den Assessment Copilot. This document is a draft for a planning officer to review, edit and own. It is not a determination. Every factual claim is cited to its source; items marked [NEEDS PLANNER INPUT] require professional judgement.</w:t>
      </w:r>
    </w:p>
    <w:p>
      <w:pPr>
        <w:pStyle w:val="Heading2"/>
      </w:pPr>
      <w:r>
        <w:t>1. 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Application No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eDA0371/25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Address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26-30 McIntyre Street, Gordon NSW 2072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Alterations, additions and associated works to an approved residential flat building (amending DA to DA0038/23) under SEPP (Housing) 2021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Council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Ku-ring-gai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Lodged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2025-08-04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Submissions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Refusal, for the reasons set out in this report.</w:t>
            </w:r>
          </w:p>
        </w:tc>
      </w:tr>
    </w:tbl>
    <w:p>
      <w:pPr>
        <w:pStyle w:val="Heading2"/>
      </w:pPr>
      <w:r>
        <w:t>2. Executive summary</w:t>
      </w:r>
    </w:p>
    <w:p>
      <w:r>
        <w:t>The application seeks consent for alterations, additions and associated works to an approved residential flat building (amending da to da0038/23) under sepp (housing) 2021. Assessment against the</w:t>
      </w:r>
    </w:p>
    <w:p>
      <w:r>
        <w:t>applicable planning controls identifies 4</w:t>
      </w:r>
    </w:p>
    <w:p>
      <w:r>
        <w:t>non-compliances with development standards (see Section 6). The draft recommendation is</w:t>
      </w:r>
    </w:p>
    <w:p>
      <w:r>
        <w:t>refusal. [NEEDS PLANNER INPUT: confirm executive summary emphasis]</w:t>
      </w:r>
    </w:p>
    <w:p>
      <w:pPr>
        <w:pStyle w:val="Heading2"/>
      </w:pPr>
      <w:r>
        <w:t>3. Site and locality</w:t>
      </w:r>
    </w:p>
    <w:p>
      <w:r>
        <w:t>The site has an area of 3360.1 m2 (data/seeds/mcintyre/assessment_report.pdf —</w:t>
      </w:r>
    </w:p>
    <w:p>
      <w:r>
        <w:t>survey). [NEEDS PLANNER INPUT: site description, surrounding development, constraints]</w:t>
      </w:r>
    </w:p>
    <w:p>
      <w:pPr>
        <w:pStyle w:val="Heading2"/>
      </w:pPr>
      <w:r>
        <w:t>4. The proposal</w:t>
      </w:r>
    </w:p>
    <w:p>
      <w:r>
        <w:t>Residential flat building (in-fill affordable housing, sepp (housing) 2021): 8 storeys, 53 dwellings,</w:t>
      </w:r>
    </w:p>
    <w:p>
      <w:r>
        <w:t>9114.1 m2 GFA, maximum height 30.48 m.</w:t>
      </w:r>
    </w:p>
    <w:p>
      <w:r>
        <w:t>Sources: assessment_report.pdf p1 (site area 3,360.1m2 by survey); assessment_report.pdf p12 (53 dwellings; 8 storeys); assessment_report.pdf p17 (landscaped area 1,572m2); assessment_report.pdf p18 (GFA 9,114.1m2, FSR 2.71:1; affordable GFA 872.9m2 = 9.5% of total); assessment_report.pdf p19 (cl 4.6 states max height 30.48m; permitted 26.4m incl 20% bonus).</w:t>
      </w:r>
    </w:p>
    <w:p>
      <w:pPr>
        <w:pStyle w:val="Heading2"/>
      </w:pPr>
      <w:r>
        <w:t>5. Background</w:t>
      </w:r>
    </w:p>
    <w:p>
      <w:r>
        <w:t>[NEEDS PLANNER INPUT: application history, pre-lodgement, RFIs]</w:t>
      </w:r>
    </w:p>
    <w:p>
      <w:pPr>
        <w:pStyle w:val="Heading2"/>
      </w:pPr>
      <w:r>
        <w:t>6. Section 4.15(1)(a) — environmental planning instruments</w:t>
      </w:r>
    </w:p>
    <w:p>
      <w:r>
        <w:t>Effective standards. SEPP (Housing) 2021 Ch 2/6 overrides the KLEP mapped controls for in-fill affordable housing here. Base FSR 2.2:1 and base height 22m apply; s16 permits up to +30% GFA/height only if &gt;=15% of total GFA is affordable, and any bonus requires &gt;=10% affordable (s16(2)). Council applied 22m + 20% = 26.4m as the permitted height.</w:t>
      </w:r>
    </w:p>
    <w:p>
      <w:pPr>
        <w:pStyle w:val="Heading3"/>
      </w:pPr>
      <w:r>
        <w:t>Development standards compliance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Proposed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Complies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Breach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Permissibility — Residential flat buildings in Zone R4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Permitted with consent under the Land Use Table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Residential flat buildings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https://legislation.nsw.gov.au/view/whole/html/inforce/current/epi-2015-0134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Floor Space Ratio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2.2:1 (base; uplift only with qualifying affordable housing)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2.71:1 (9114.1 m2 GFA / 3360.1 m2 site)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+23.29% above base FSR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data/seeds/mcintyre/assessment_report.pdf p18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Affordable housing component (SEPP Housing s16(2))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&gt;= 10.0% of total GFA to access any FSR/height bonus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9.6% (872.9 m2 of 9114.1 m2)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 percentage points below minimum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data/seeds/mcintyre/assessment_report.pdf p18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Height of Building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26.4 m (base 22.0 m incl 20% bonus)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30.48 m (8 storeys)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+4.08 m (15.5%)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data/seeds/mcintyre/assessment_report.pdf p19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Site area (SEPP Housing s19, non-discretionary)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&gt;= 450.0 m2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3360.1 m2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data/seeds/mcintyre/assessment_report.pdf p17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Minimum landscaped area (SEPP Housing s19, non-discretionary)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&gt;= 1008.0 m2 (lesser of 35m2/dwelling or 30% of site area)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1572.0 m2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data/seeds/mcintyre/assessment_report.pdf p17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DCP 7C.6 — maximum building length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Continuous length of a single building on any elevation &lt;= 36 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52.3 m (assessment_report.pdf p57 (Building A length 52.3m))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+16.3 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data/dcp/kdcp-part7-rfb.pdf 7C.6 p32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DCP 7A.5 — site coverage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Maximum 30% of site area (subject to deep soil compliance)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Council disputes the applicant's site coverage and deep soil calculations (assessment_report.pdf p11); increase of +134.5 m2 over approved (p12).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data/dcp/kdcp-part7-rfb.pdf 7A.5 p15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DCP 7A.3 — Building Setbacks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side boundary street boundary driveway street min 6.0m side setback min 6.0m side setback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[NEEDS PLANNER INPUT: measure from plans]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data/dcp/kdcp-part7-rfb.pdf 7A.3 p10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DCP 7A.6 — Deep Soil Landscaping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Lots with the following sizes are to support a minimum number of tall trees capable of attaining a mature height of at least 18m on shale, transitional soils and 15m on sandstone derived soils.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[NEEDS PLANNER INPUT: measure from plans]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data/dcp/kdcp-part7-rfb.pdf 7A.6 p16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DCP 7C.2 — Communal Open Spa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At least 10% of the site area is to be provided as communal open space. Each parcel of communal open space is to have a minimum dimension of 5m.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[NEEDS PLANNER INPUT: measure from plans]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data/dcp/kdcp-part7-rfb.pdf 7C.2 p25</w:t>
            </w:r>
          </w:p>
        </w:tc>
      </w:tr>
    </w:tbl>
    <w:p>
      <w:pPr>
        <w:pStyle w:val="Heading3"/>
      </w:pPr>
      <w:r>
        <w:t>DCP compliance</w:t>
      </w:r>
    </w:p>
    <w:p>
      <w:r>
        <w:t>[NEEDS PLANNER INPUT: DCP controls table — arrives with the DCP retriever (M3)]</w:t>
      </w:r>
    </w:p>
    <w:p>
      <w:pPr>
        <w:pStyle w:val="Heading2"/>
      </w:pPr>
      <w:r>
        <w:t>7. Section 4.15(1)(b) — likely impacts</w:t>
      </w:r>
    </w:p>
    <w:p>
      <w:r>
        <w:t>- Traffic generation and road network impacts — Adequate on-site parking; GTIA 2024 rates give ~8 AM / 6 PM peak trips for 53 dwellings — minor and acceptable. (assessment_report.pdf p12)</w:t>
      </w:r>
    </w:p>
    <w:p>
      <w:r>
        <w:t>- Street parking, footpath access and blockages during construction — Manageable via Construction Traffic Management Plan condition (as per DA0038/23 condition 6) if approved. (assessment_report.pdf pp12-13)</w:t>
      </w:r>
    </w:p>
    <w:p>
      <w:r>
        <w:t>- Acoustic impacts (operation and construction) — Acoustic report relates to a previous set of plans; forms part of refusal reason 14. Construction noise conditionable. (assessment_report.pdf p13)</w:t>
      </w:r>
    </w:p>
    <w:p>
      <w:r>
        <w:t>- Dust impacts during construction — Conditionable, consistent with DA0038/23. (assessment_report.pdf p13)</w:t>
      </w:r>
    </w:p>
    <w:p>
      <w:r>
        <w:t>[NEEDS PLANNER INPUT: solar access, privacy, visual bulk, stormwater, ecology]</w:t>
      </w:r>
    </w:p>
    <w:p>
      <w:pPr>
        <w:pStyle w:val="Heading2"/>
      </w:pPr>
      <w:r>
        <w:t>8. Section 4.15(1)(c) — suitability of the site</w:t>
      </w:r>
    </w:p>
    <w:p>
      <w:r>
        <w:t>[NEEDS PLANNER INPUT: site suitability conclusion]</w:t>
      </w:r>
    </w:p>
    <w:p>
      <w:pPr>
        <w:pStyle w:val="Heading2"/>
      </w:pPr>
      <w:r>
        <w:t>9. Section 4.15(1)(d) — submissions</w:t>
      </w:r>
    </w:p>
    <w:p>
      <w:r>
        <w:t>3 submissions were received. Issues raised and draft responses: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Issue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Head of consideration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Draft response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Traffic generation and road network impacts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4.15(1)(b) likely impacts — traffic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Adequate on-site parking; GTIA 2024 rates give ~8 AM / 6 PM peak trips for 53 dwellings — minor and acceptable.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assessment_report.pdf p12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Street parking, footpath access and blockages during construction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4.15(1)(b) likely impacts — construction amenity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Manageable via Construction Traffic Management Plan condition (as per DA0038/23 condition 6) if approved.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assessment_report.pdf pp12-13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Acoustic impacts (operation and construction)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4.15(1)(b) likely impacts — noise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Acoustic report relates to a previous set of plans; forms part of refusal reason 14. Construction noise conditionable.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assessment_report.pdf p13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Dust impacts during construction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4.15(1)(b) likely impacts — air/amenity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Conditionable, consistent with DA0038/23.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assessment_report.pdf p13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Increased density / unclear FSR and built form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4.15(1)(a) EPIs — FSR standard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FSR calculation unclear and non-compliant; underpins refusal reason 6 (affordable housing) and reason 1 (GFA).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assessment_report.pdf p13</w:t>
            </w:r>
          </w:p>
        </w:tc>
      </w:tr>
    </w:tbl>
    <w:p>
      <w:pPr>
        <w:pStyle w:val="Heading2"/>
      </w:pPr>
      <w:r>
        <w:t>10. Section 4.15(1)(e) — public interest</w:t>
      </w:r>
    </w:p>
    <w:p>
      <w:r>
        <w:t>The public interest is served by the consistent application of the relevant environmental</w:t>
      </w:r>
    </w:p>
    <w:p>
      <w:r>
        <w:t>planning instruments. [NEEDS PLANNER INPUT: confirm]</w:t>
      </w:r>
    </w:p>
    <w:p>
      <w:pPr>
        <w:pStyle w:val="Heading2"/>
      </w:pPr>
      <w:r>
        <w:t>11. Reasons for refusal (draft)</w:t>
      </w:r>
    </w:p>
    <w:p>
      <w:r>
        <w:t>1. Floor Space Ratio does not comply: proposed 2.71:1 (9114.1 m2 GFA / 3360.1 m2 site) against a requirement of 2.2:1 (base; uplift only with qualifying affordable housing) (+23.29% above base FSR). Source: data/seeds/mcintyre/assessment_report.pdf p18.</w:t>
      </w:r>
    </w:p>
    <w:p>
      <w:r>
        <w:t>2. Affordable housing component (SEPP Housing s16(2)) does not comply: proposed 9.6% (872.9 m2 of 9114.1 m2) against a requirement of &gt;= 10.0% of total GFA to access any FSR/height bonus (0.4 percentage points below minimum). Source: data/seeds/mcintyre/assessment_report.pdf p18.</w:t>
      </w:r>
    </w:p>
    <w:p>
      <w:r>
        <w:t>3. Height of Building does not comply: proposed 30.48 m (8 storeys) against a requirement of 26.4 m (base 22.0 m incl 20% bonus) (+4.08 m (15.5%)). Source: data/seeds/mcintyre/assessment_report.pdf p19.</w:t>
      </w:r>
    </w:p>
    <w:p>
      <w:r>
        <w:t>4. DCP 7C.6 — maximum building length does not comply: proposed 52.3 m (assessment_report.pdf p57 (Building A length 52.3m)) against a requirement of Continuous length of a single building on any elevation &lt;= 36 m (+16.3 m). Source: data/dcp/kdcp-part7-rfb.pdf 7C.6 p32.</w:t>
      </w:r>
    </w:p>
    <w:p>
      <w:pPr>
        <w:pStyle w:val="Heading2"/>
      </w:pPr>
      <w:r>
        <w:t>12. Conclusion</w:t>
      </w:r>
    </w:p>
    <w:p>
      <w:r>
        <w:t>Having regard to section 4.15 of the Environmental Planning and Assessment Act 1979, the</w:t>
      </w:r>
    </w:p>
    <w:p>
      <w:r>
        <w:t>draft assessment supports refusal. A planning officer must review every section before</w:t>
      </w:r>
    </w:p>
    <w:p>
      <w:r>
        <w:t>this assessment is relied upon.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