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Development Assessment Report (DRAFT)</w:t>
      </w:r>
    </w:p>
    <w:p>
      <w:r>
        <w:t>DRAFT — prepared by Den Assessment Copilot. This document is a draft for a planning officer to review, edit and own. It is not a determination. Every factual claim is cited to its source; items marked [NEEDS PLANNER INPUT] require professional judgement.</w:t>
      </w:r>
    </w:p>
    <w:p>
      <w:pPr>
        <w:pStyle w:val="Heading2"/>
      </w:pPr>
      <w:r>
        <w:t>1. Application details</w:t>
      </w:r>
    </w:p>
    <w:tbl>
      <w:tblPr>
        <w:tblStyle w:val="TableGrid"/>
        <w:tblW w:type="auto" w:w="0"/>
        <w:tblLook w:firstColumn="1" w:firstRow="1" w:lastColumn="0" w:lastRow="0" w:noHBand="0" w:noVBand="1" w:val="04A0"/>
      </w:tblPr>
      <w:tblGrid>
        <w:gridCol w:w="4320"/>
        <w:gridCol w:w="4320"/>
      </w:tblGrid>
      <w:tr>
        <w:tc>
          <w:tcPr>
            <w:tcW w:type="dxa" w:w="4320"/>
          </w:tcPr>
          <w:p>
            <w:r>
              <w:rPr>
                <w:sz w:val="16"/>
              </w:rPr>
              <w:t>Application No</w:t>
            </w:r>
          </w:p>
        </w:tc>
        <w:tc>
          <w:tcPr>
            <w:tcW w:type="dxa" w:w="4320"/>
          </w:tcPr>
          <w:p>
            <w:r>
              <w:rPr>
                <w:sz w:val="16"/>
              </w:rPr>
              <w:t>eDA0371/25</w:t>
            </w:r>
          </w:p>
        </w:tc>
      </w:tr>
      <w:tr>
        <w:tc>
          <w:tcPr>
            <w:tcW w:type="dxa" w:w="4320"/>
          </w:tcPr>
          <w:p>
            <w:r>
              <w:rPr>
                <w:sz w:val="16"/>
              </w:rPr>
              <w:t>Address</w:t>
            </w:r>
          </w:p>
        </w:tc>
        <w:tc>
          <w:tcPr>
            <w:tcW w:type="dxa" w:w="4320"/>
          </w:tcPr>
          <w:p>
            <w:r>
              <w:rPr>
                <w:sz w:val="16"/>
              </w:rPr>
              <w:t>26-30 McIntyre Street, Gordon NSW 2072</w:t>
            </w:r>
          </w:p>
        </w:tc>
      </w:tr>
      <w:tr>
        <w:tc>
          <w:tcPr>
            <w:tcW w:type="dxa" w:w="4320"/>
          </w:tcPr>
          <w:p>
            <w:r>
              <w:rPr>
                <w:sz w:val="16"/>
              </w:rPr>
              <w:t>Proposal</w:t>
            </w:r>
          </w:p>
        </w:tc>
        <w:tc>
          <w:tcPr>
            <w:tcW w:type="dxa" w:w="4320"/>
          </w:tcPr>
          <w:p>
            <w:r>
              <w:rPr>
                <w:sz w:val="16"/>
              </w:rPr>
              <w:t>Alterations, additions and associated works to an approved residential flat building (amending DA to DA0038/23) under SEPP (Housing) 2021</w:t>
            </w:r>
          </w:p>
        </w:tc>
      </w:tr>
      <w:tr>
        <w:tc>
          <w:tcPr>
            <w:tcW w:type="dxa" w:w="4320"/>
          </w:tcPr>
          <w:p>
            <w:r>
              <w:rPr>
                <w:sz w:val="16"/>
              </w:rPr>
              <w:t>Council</w:t>
            </w:r>
          </w:p>
        </w:tc>
        <w:tc>
          <w:tcPr>
            <w:tcW w:type="dxa" w:w="4320"/>
          </w:tcPr>
          <w:p>
            <w:r>
              <w:rPr>
                <w:sz w:val="16"/>
              </w:rPr>
              <w:t>Ku-ring-gai</w:t>
            </w:r>
          </w:p>
        </w:tc>
      </w:tr>
      <w:tr>
        <w:tc>
          <w:tcPr>
            <w:tcW w:type="dxa" w:w="4320"/>
          </w:tcPr>
          <w:p>
            <w:r>
              <w:rPr>
                <w:sz w:val="16"/>
              </w:rPr>
              <w:t>Lodged</w:t>
            </w:r>
          </w:p>
        </w:tc>
        <w:tc>
          <w:tcPr>
            <w:tcW w:type="dxa" w:w="4320"/>
          </w:tcPr>
          <w:p>
            <w:r>
              <w:rPr>
                <w:sz w:val="16"/>
              </w:rPr>
              <w:t>2025-08-04</w:t>
            </w:r>
          </w:p>
        </w:tc>
      </w:tr>
      <w:tr>
        <w:tc>
          <w:tcPr>
            <w:tcW w:type="dxa" w:w="4320"/>
          </w:tcPr>
          <w:p>
            <w:r>
              <w:rPr>
                <w:sz w:val="16"/>
              </w:rPr>
              <w:t>Submissions</w:t>
            </w:r>
          </w:p>
        </w:tc>
        <w:tc>
          <w:tcPr>
            <w:tcW w:type="dxa" w:w="4320"/>
          </w:tcPr>
          <w:p>
            <w:r>
              <w:rPr>
                <w:sz w:val="16"/>
              </w:rPr>
              <w:t>3</w:t>
            </w:r>
          </w:p>
        </w:tc>
      </w:tr>
      <w:tr>
        <w:tc>
          <w:tcPr>
            <w:tcW w:type="dxa" w:w="4320"/>
          </w:tcPr>
          <w:p>
            <w:r>
              <w:rPr>
                <w:sz w:val="16"/>
              </w:rPr>
              <w:t>Recommendation</w:t>
            </w:r>
          </w:p>
        </w:tc>
        <w:tc>
          <w:tcPr>
            <w:tcW w:type="dxa" w:w="4320"/>
          </w:tcPr>
          <w:p>
            <w:r>
              <w:rPr>
                <w:sz w:val="16"/>
              </w:rPr>
              <w:t>Refusal, for the reasons set out in this report.</w:t>
            </w:r>
          </w:p>
        </w:tc>
      </w:tr>
    </w:tbl>
    <w:p>
      <w:pPr>
        <w:pStyle w:val="Heading2"/>
      </w:pPr>
      <w:r>
        <w:t>2. Executive summary</w:t>
      </w:r>
    </w:p>
    <w:p>
      <w:r>
        <w:t>The application seeks consent for alterations, additions and associated works to an approved residential flat building (amending da to da0038/23) under sepp (housing) 2021. Assessment against the</w:t>
      </w:r>
    </w:p>
    <w:p>
      <w:r>
        <w:t>applicable planning controls identifies 4</w:t>
      </w:r>
    </w:p>
    <w:p>
      <w:r>
        <w:t>non-compliances with development standards (see Section 6). The draft recommendation is</w:t>
      </w:r>
    </w:p>
    <w:p>
      <w:r>
        <w:t>refusal. [NEEDS PLANNER INPUT: confirm executive summary emphasis]</w:t>
      </w:r>
    </w:p>
    <w:p>
      <w:pPr>
        <w:pStyle w:val="Heading2"/>
      </w:pPr>
      <w:r>
        <w:t>3. Site and locality</w:t>
      </w:r>
    </w:p>
    <w:p>
      <w:r>
        <w:t>The site has an area of 3360.1 m2 (data/seeds/mcintyre/assessment_report.pdf —</w:t>
      </w:r>
    </w:p>
    <w:p>
      <w:r>
        <w:t>survey). [NEEDS PLANNER INPUT: site description, surrounding development, constraints]</w:t>
      </w:r>
    </w:p>
    <w:p>
      <w:pPr>
        <w:pStyle w:val="Heading2"/>
      </w:pPr>
      <w:r>
        <w:t>4. The proposal</w:t>
      </w:r>
    </w:p>
    <w:p>
      <w:r>
        <w:t>Residential flat building (in-fill affordable housing, sepp (housing) 2021): 8 storeys, 53 dwellings,</w:t>
      </w:r>
    </w:p>
    <w:p>
      <w:r>
        <w:t>9114.1 m2 GFA, maximum height 30.48 m.</w:t>
      </w:r>
    </w:p>
    <w:p>
      <w:r>
        <w:t>Sources: assessment_report.pdf p1 (site area 3,360.1m2 by survey); assessment_report.pdf p12 (53 dwellings; 8 storeys); assessment_report.pdf p17 (landscaped area 1,572m2); assessment_report.pdf p18 (GFA 9,114.1m2, FSR 2.71:1; affordable GFA 872.9m2 = 9.5% of total); assessment_report.pdf p19 (cl 4.6 states max height 30.48m; permitted 26.4m incl 20% bonus).</w:t>
      </w:r>
    </w:p>
    <w:p>
      <w:pPr>
        <w:pStyle w:val="Heading2"/>
      </w:pPr>
      <w:r>
        <w:t>5. Background</w:t>
      </w:r>
    </w:p>
    <w:p>
      <w:r>
        <w:t>[NEEDS PLANNER INPUT: application history, pre-lodgement, RFIs]</w:t>
      </w:r>
    </w:p>
    <w:p>
      <w:pPr>
        <w:pStyle w:val="Heading2"/>
      </w:pPr>
      <w:r>
        <w:t>6. Section 4.15(1)(a) — environmental planning instruments</w:t>
      </w:r>
    </w:p>
    <w:p>
      <w:r>
        <w:t>Effective standards. SEPP (Housing) 2021 Ch 2/6 overrides the KLEP mapped controls for in-fill affordable housing here. Base FSR 2.2:1 and base height 22m apply; s16 permits up to +30% GFA/height only if &gt;=15% of total GFA is affordable, and any bonus requires &gt;=10% affordable (s16(2)). Council applied 22m + 20% = 26.4m as the permitted height.</w:t>
      </w:r>
    </w:p>
    <w:p>
      <w:pPr>
        <w:pStyle w:val="Heading3"/>
      </w:pPr>
      <w:r>
        <w:t>Development standards compliance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6"/>
              </w:rPr>
              <w:t>Control</w:t>
            </w:r>
          </w:p>
        </w:tc>
        <w:tc>
          <w:tcPr>
            <w:tcW w:type="dxa" w:w="1440"/>
          </w:tcPr>
          <w:p>
            <w:r>
              <w:rPr>
                <w:sz w:val="16"/>
              </w:rPr>
              <w:t>Requirement</w:t>
            </w:r>
          </w:p>
        </w:tc>
        <w:tc>
          <w:tcPr>
            <w:tcW w:type="dxa" w:w="1440"/>
          </w:tcPr>
          <w:p>
            <w:r>
              <w:rPr>
                <w:sz w:val="16"/>
              </w:rPr>
              <w:t>Proposed</w:t>
            </w:r>
          </w:p>
        </w:tc>
        <w:tc>
          <w:tcPr>
            <w:tcW w:type="dxa" w:w="1440"/>
          </w:tcPr>
          <w:p>
            <w:r>
              <w:rPr>
                <w:sz w:val="16"/>
              </w:rPr>
              <w:t>Complies</w:t>
            </w:r>
          </w:p>
        </w:tc>
        <w:tc>
          <w:tcPr>
            <w:tcW w:type="dxa" w:w="1440"/>
          </w:tcPr>
          <w:p>
            <w:r>
              <w:rPr>
                <w:sz w:val="16"/>
              </w:rPr>
              <w:t>Breach</w:t>
            </w:r>
          </w:p>
        </w:tc>
        <w:tc>
          <w:tcPr>
            <w:tcW w:type="dxa" w:w="1440"/>
          </w:tcPr>
          <w:p>
            <w:r>
              <w:rPr>
                <w:sz w:val="16"/>
              </w:rPr>
              <w:t>Source</w:t>
            </w:r>
          </w:p>
        </w:tc>
      </w:tr>
      <w:tr>
        <w:tc>
          <w:tcPr>
            <w:tcW w:type="dxa" w:w="1440"/>
          </w:tcPr>
          <w:p>
            <w:r>
              <w:rPr>
                <w:sz w:val="16"/>
              </w:rPr>
              <w:t>Permissibility — Residential flat buildings in Zone R4</w:t>
            </w:r>
          </w:p>
        </w:tc>
        <w:tc>
          <w:tcPr>
            <w:tcW w:type="dxa" w:w="1440"/>
          </w:tcPr>
          <w:p>
            <w:r>
              <w:rPr>
                <w:sz w:val="16"/>
              </w:rPr>
              <w:t>Permitted with consent under the Land Use Table</w:t>
            </w:r>
          </w:p>
        </w:tc>
        <w:tc>
          <w:tcPr>
            <w:tcW w:type="dxa" w:w="1440"/>
          </w:tcPr>
          <w:p>
            <w:r>
              <w:rPr>
                <w:sz w:val="16"/>
              </w:rPr>
              <w:t>Residential flat buildings</w:t>
            </w:r>
          </w:p>
        </w:tc>
        <w:tc>
          <w:tcPr>
            <w:tcW w:type="dxa" w:w="1440"/>
          </w:tcPr>
          <w:p>
            <w:r>
              <w:rPr>
                <w:sz w:val="16"/>
              </w:rPr>
              <w:t>YES</w:t>
            </w:r>
          </w:p>
        </w:tc>
        <w:tc>
          <w:tcPr>
            <w:tcW w:type="dxa" w:w="1440"/>
          </w:tcPr>
          <w:p>
            <w:r>
              <w:rPr>
                <w:sz w:val="16"/>
              </w:rPr>
              <w:t>—</w:t>
            </w:r>
          </w:p>
        </w:tc>
        <w:tc>
          <w:tcPr>
            <w:tcW w:type="dxa" w:w="1440"/>
          </w:tcPr>
          <w:p>
            <w:r>
              <w:rPr>
                <w:sz w:val="16"/>
              </w:rPr>
              <w:t>https://legislation.nsw.gov.au/view/whole/html/inforce/current/epi-2015-0134</w:t>
            </w:r>
          </w:p>
        </w:tc>
      </w:tr>
      <w:tr>
        <w:tc>
          <w:tcPr>
            <w:tcW w:type="dxa" w:w="1440"/>
          </w:tcPr>
          <w:p>
            <w:r>
              <w:rPr>
                <w:sz w:val="16"/>
              </w:rPr>
              <w:t>Floor Space Ratio</w:t>
            </w:r>
          </w:p>
        </w:tc>
        <w:tc>
          <w:tcPr>
            <w:tcW w:type="dxa" w:w="1440"/>
          </w:tcPr>
          <w:p>
            <w:r>
              <w:rPr>
                <w:sz w:val="16"/>
              </w:rPr>
              <w:t>2.2:1 (base; uplift only with qualifying affordable housing)</w:t>
            </w:r>
          </w:p>
        </w:tc>
        <w:tc>
          <w:tcPr>
            <w:tcW w:type="dxa" w:w="1440"/>
          </w:tcPr>
          <w:p>
            <w:r>
              <w:rPr>
                <w:sz w:val="16"/>
              </w:rPr>
              <w:t>2.71:1 (9114.1 m2 GFA / 3360.1 m2 site)</w:t>
            </w:r>
          </w:p>
        </w:tc>
        <w:tc>
          <w:tcPr>
            <w:tcW w:type="dxa" w:w="1440"/>
          </w:tcPr>
          <w:p>
            <w:r>
              <w:rPr>
                <w:sz w:val="16"/>
              </w:rPr>
              <w:t>NO</w:t>
            </w:r>
          </w:p>
        </w:tc>
        <w:tc>
          <w:tcPr>
            <w:tcW w:type="dxa" w:w="1440"/>
          </w:tcPr>
          <w:p>
            <w:r>
              <w:rPr>
                <w:sz w:val="16"/>
              </w:rPr>
              <w:t>+23.29% above base FSR</w:t>
            </w:r>
          </w:p>
        </w:tc>
        <w:tc>
          <w:tcPr>
            <w:tcW w:type="dxa" w:w="1440"/>
          </w:tcPr>
          <w:p>
            <w:r>
              <w:rPr>
                <w:sz w:val="16"/>
              </w:rPr>
              <w:t>data/seeds/mcintyre/assessment_report.pdf p18</w:t>
            </w:r>
          </w:p>
        </w:tc>
      </w:tr>
      <w:tr>
        <w:tc>
          <w:tcPr>
            <w:tcW w:type="dxa" w:w="1440"/>
          </w:tcPr>
          <w:p>
            <w:r>
              <w:rPr>
                <w:sz w:val="16"/>
              </w:rPr>
              <w:t>Affordable housing component (SEPP Housing s16(2))</w:t>
            </w:r>
          </w:p>
        </w:tc>
        <w:tc>
          <w:tcPr>
            <w:tcW w:type="dxa" w:w="1440"/>
          </w:tcPr>
          <w:p>
            <w:r>
              <w:rPr>
                <w:sz w:val="16"/>
              </w:rPr>
              <w:t>&gt;= 10.0% of total GFA to access any FSR/height bonus</w:t>
            </w:r>
          </w:p>
        </w:tc>
        <w:tc>
          <w:tcPr>
            <w:tcW w:type="dxa" w:w="1440"/>
          </w:tcPr>
          <w:p>
            <w:r>
              <w:rPr>
                <w:sz w:val="16"/>
              </w:rPr>
              <w:t>9.6% (872.9 m2 of 9114.1 m2)</w:t>
            </w:r>
          </w:p>
        </w:tc>
        <w:tc>
          <w:tcPr>
            <w:tcW w:type="dxa" w:w="1440"/>
          </w:tcPr>
          <w:p>
            <w:r>
              <w:rPr>
                <w:sz w:val="16"/>
              </w:rPr>
              <w:t>NO</w:t>
            </w:r>
          </w:p>
        </w:tc>
        <w:tc>
          <w:tcPr>
            <w:tcW w:type="dxa" w:w="1440"/>
          </w:tcPr>
          <w:p>
            <w:r>
              <w:rPr>
                <w:sz w:val="16"/>
              </w:rPr>
              <w:t>0.4 percentage points below minimum</w:t>
            </w:r>
          </w:p>
        </w:tc>
        <w:tc>
          <w:tcPr>
            <w:tcW w:type="dxa" w:w="1440"/>
          </w:tcPr>
          <w:p>
            <w:r>
              <w:rPr>
                <w:sz w:val="16"/>
              </w:rPr>
              <w:t>data/seeds/mcintyre/assessment_report.pdf p18</w:t>
            </w:r>
          </w:p>
        </w:tc>
      </w:tr>
      <w:tr>
        <w:tc>
          <w:tcPr>
            <w:tcW w:type="dxa" w:w="1440"/>
          </w:tcPr>
          <w:p>
            <w:r>
              <w:rPr>
                <w:sz w:val="16"/>
              </w:rPr>
              <w:t>Height of Building</w:t>
            </w:r>
          </w:p>
        </w:tc>
        <w:tc>
          <w:tcPr>
            <w:tcW w:type="dxa" w:w="1440"/>
          </w:tcPr>
          <w:p>
            <w:r>
              <w:rPr>
                <w:sz w:val="16"/>
              </w:rPr>
              <w:t>26.4 m (base 22.0 m incl 20% bonus)</w:t>
            </w:r>
          </w:p>
        </w:tc>
        <w:tc>
          <w:tcPr>
            <w:tcW w:type="dxa" w:w="1440"/>
          </w:tcPr>
          <w:p>
            <w:r>
              <w:rPr>
                <w:sz w:val="16"/>
              </w:rPr>
              <w:t>30.48 m (8 storeys)</w:t>
            </w:r>
          </w:p>
        </w:tc>
        <w:tc>
          <w:tcPr>
            <w:tcW w:type="dxa" w:w="1440"/>
          </w:tcPr>
          <w:p>
            <w:r>
              <w:rPr>
                <w:sz w:val="16"/>
              </w:rPr>
              <w:t>NO</w:t>
            </w:r>
          </w:p>
        </w:tc>
        <w:tc>
          <w:tcPr>
            <w:tcW w:type="dxa" w:w="1440"/>
          </w:tcPr>
          <w:p>
            <w:r>
              <w:rPr>
                <w:sz w:val="16"/>
              </w:rPr>
              <w:t>+4.08 m (15.5%)</w:t>
            </w:r>
          </w:p>
        </w:tc>
        <w:tc>
          <w:tcPr>
            <w:tcW w:type="dxa" w:w="1440"/>
          </w:tcPr>
          <w:p>
            <w:r>
              <w:rPr>
                <w:sz w:val="16"/>
              </w:rPr>
              <w:t>data/seeds/mcintyre/assessment_report.pdf p19</w:t>
            </w:r>
          </w:p>
        </w:tc>
      </w:tr>
      <w:tr>
        <w:tc>
          <w:tcPr>
            <w:tcW w:type="dxa" w:w="1440"/>
          </w:tcPr>
          <w:p>
            <w:r>
              <w:rPr>
                <w:sz w:val="16"/>
              </w:rPr>
              <w:t>Site area (SEPP Housing s19, non-discretionary)</w:t>
            </w:r>
          </w:p>
        </w:tc>
        <w:tc>
          <w:tcPr>
            <w:tcW w:type="dxa" w:w="1440"/>
          </w:tcPr>
          <w:p>
            <w:r>
              <w:rPr>
                <w:sz w:val="16"/>
              </w:rPr>
              <w:t>&gt;= 450.0 m2</w:t>
            </w:r>
          </w:p>
        </w:tc>
        <w:tc>
          <w:tcPr>
            <w:tcW w:type="dxa" w:w="1440"/>
          </w:tcPr>
          <w:p>
            <w:r>
              <w:rPr>
                <w:sz w:val="16"/>
              </w:rPr>
              <w:t>3360.1 m2</w:t>
            </w:r>
          </w:p>
        </w:tc>
        <w:tc>
          <w:tcPr>
            <w:tcW w:type="dxa" w:w="1440"/>
          </w:tcPr>
          <w:p>
            <w:r>
              <w:rPr>
                <w:sz w:val="16"/>
              </w:rPr>
              <w:t>YES</w:t>
            </w:r>
          </w:p>
        </w:tc>
        <w:tc>
          <w:tcPr>
            <w:tcW w:type="dxa" w:w="1440"/>
          </w:tcPr>
          <w:p>
            <w:r>
              <w:rPr>
                <w:sz w:val="16"/>
              </w:rPr>
              <w:t>—</w:t>
            </w:r>
          </w:p>
        </w:tc>
        <w:tc>
          <w:tcPr>
            <w:tcW w:type="dxa" w:w="1440"/>
          </w:tcPr>
          <w:p>
            <w:r>
              <w:rPr>
                <w:sz w:val="16"/>
              </w:rPr>
              <w:t>data/seeds/mcintyre/assessment_report.pdf p17</w:t>
            </w:r>
          </w:p>
        </w:tc>
      </w:tr>
      <w:tr>
        <w:tc>
          <w:tcPr>
            <w:tcW w:type="dxa" w:w="1440"/>
          </w:tcPr>
          <w:p>
            <w:r>
              <w:rPr>
                <w:sz w:val="16"/>
              </w:rPr>
              <w:t>Minimum landscaped area (SEPP Housing s19, non-discretionary)</w:t>
            </w:r>
          </w:p>
        </w:tc>
        <w:tc>
          <w:tcPr>
            <w:tcW w:type="dxa" w:w="1440"/>
          </w:tcPr>
          <w:p>
            <w:r>
              <w:rPr>
                <w:sz w:val="16"/>
              </w:rPr>
              <w:t>&gt;= 1008.0 m2 (lesser of 35m2/dwelling or 30% of site area)</w:t>
            </w:r>
          </w:p>
        </w:tc>
        <w:tc>
          <w:tcPr>
            <w:tcW w:type="dxa" w:w="1440"/>
          </w:tcPr>
          <w:p>
            <w:r>
              <w:rPr>
                <w:sz w:val="16"/>
              </w:rPr>
              <w:t>1572.0 m2</w:t>
            </w:r>
          </w:p>
        </w:tc>
        <w:tc>
          <w:tcPr>
            <w:tcW w:type="dxa" w:w="1440"/>
          </w:tcPr>
          <w:p>
            <w:r>
              <w:rPr>
                <w:sz w:val="16"/>
              </w:rPr>
              <w:t>YES</w:t>
            </w:r>
          </w:p>
        </w:tc>
        <w:tc>
          <w:tcPr>
            <w:tcW w:type="dxa" w:w="1440"/>
          </w:tcPr>
          <w:p>
            <w:r>
              <w:rPr>
                <w:sz w:val="16"/>
              </w:rPr>
              <w:t>—</w:t>
            </w:r>
          </w:p>
        </w:tc>
        <w:tc>
          <w:tcPr>
            <w:tcW w:type="dxa" w:w="1440"/>
          </w:tcPr>
          <w:p>
            <w:r>
              <w:rPr>
                <w:sz w:val="16"/>
              </w:rPr>
              <w:t>data/seeds/mcintyre/assessment_report.pdf p17</w:t>
            </w:r>
          </w:p>
        </w:tc>
      </w:tr>
      <w:tr>
        <w:tc>
          <w:tcPr>
            <w:tcW w:type="dxa" w:w="1440"/>
          </w:tcPr>
          <w:p>
            <w:r>
              <w:rPr>
                <w:sz w:val="16"/>
              </w:rPr>
              <w:t>DCP 7C.6 — maximum building length</w:t>
            </w:r>
          </w:p>
        </w:tc>
        <w:tc>
          <w:tcPr>
            <w:tcW w:type="dxa" w:w="1440"/>
          </w:tcPr>
          <w:p>
            <w:r>
              <w:rPr>
                <w:sz w:val="16"/>
              </w:rPr>
              <w:t>Continuous length of a single building on any elevation &lt;= 36 m</w:t>
            </w:r>
          </w:p>
        </w:tc>
        <w:tc>
          <w:tcPr>
            <w:tcW w:type="dxa" w:w="1440"/>
          </w:tcPr>
          <w:p>
            <w:r>
              <w:rPr>
                <w:sz w:val="16"/>
              </w:rPr>
              <w:t>52.3 m (assessment_report.pdf p57 (Building A length 52.3m))</w:t>
            </w:r>
          </w:p>
        </w:tc>
        <w:tc>
          <w:tcPr>
            <w:tcW w:type="dxa" w:w="1440"/>
          </w:tcPr>
          <w:p>
            <w:r>
              <w:rPr>
                <w:sz w:val="16"/>
              </w:rPr>
              <w:t>NO</w:t>
            </w:r>
          </w:p>
        </w:tc>
        <w:tc>
          <w:tcPr>
            <w:tcW w:type="dxa" w:w="1440"/>
          </w:tcPr>
          <w:p>
            <w:r>
              <w:rPr>
                <w:sz w:val="16"/>
              </w:rPr>
              <w:t>+16.3 m</w:t>
            </w:r>
          </w:p>
        </w:tc>
        <w:tc>
          <w:tcPr>
            <w:tcW w:type="dxa" w:w="1440"/>
          </w:tcPr>
          <w:p>
            <w:r>
              <w:rPr>
                <w:sz w:val="16"/>
              </w:rPr>
              <w:t>data/dcp/kdcp-part7-rfb.pdf 7C.6 p32</w:t>
            </w:r>
          </w:p>
        </w:tc>
      </w:tr>
      <w:tr>
        <w:tc>
          <w:tcPr>
            <w:tcW w:type="dxa" w:w="1440"/>
          </w:tcPr>
          <w:p>
            <w:r>
              <w:rPr>
                <w:sz w:val="16"/>
              </w:rPr>
              <w:t>DCP 7A.5 — site coverage</w:t>
            </w:r>
          </w:p>
        </w:tc>
        <w:tc>
          <w:tcPr>
            <w:tcW w:type="dxa" w:w="1440"/>
          </w:tcPr>
          <w:p>
            <w:r>
              <w:rPr>
                <w:sz w:val="16"/>
              </w:rPr>
              <w:t>Maximum 30% of site area (subject to deep soil compliance)</w:t>
            </w:r>
          </w:p>
        </w:tc>
        <w:tc>
          <w:tcPr>
            <w:tcW w:type="dxa" w:w="1440"/>
          </w:tcPr>
          <w:p>
            <w:r>
              <w:rPr>
                <w:sz w:val="16"/>
              </w:rPr>
              <w:t>Council disputes the applicant's site coverage and deep soil calculations (assessment_report.pdf p11); increase of +134.5 m2 over approved (p12).</w:t>
            </w:r>
          </w:p>
        </w:tc>
        <w:tc>
          <w:tcPr>
            <w:tcW w:type="dxa" w:w="1440"/>
          </w:tcPr>
          <w:p>
            <w:r>
              <w:rPr>
                <w:sz w:val="16"/>
              </w:rPr>
              <w:t>REVIEW</w:t>
            </w:r>
          </w:p>
        </w:tc>
        <w:tc>
          <w:tcPr>
            <w:tcW w:type="dxa" w:w="1440"/>
          </w:tcPr>
          <w:p>
            <w:r>
              <w:rPr>
                <w:sz w:val="16"/>
              </w:rPr>
              <w:t>—</w:t>
            </w:r>
          </w:p>
        </w:tc>
        <w:tc>
          <w:tcPr>
            <w:tcW w:type="dxa" w:w="1440"/>
          </w:tcPr>
          <w:p>
            <w:r>
              <w:rPr>
                <w:sz w:val="16"/>
              </w:rPr>
              <w:t>data/dcp/kdcp-part7-rfb.pdf 7A.5 p15</w:t>
            </w:r>
          </w:p>
        </w:tc>
      </w:tr>
      <w:tr>
        <w:tc>
          <w:tcPr>
            <w:tcW w:type="dxa" w:w="1440"/>
          </w:tcPr>
          <w:p>
            <w:r>
              <w:rPr>
                <w:sz w:val="16"/>
              </w:rPr>
              <w:t>DCP 7A.3 — Building Setbacks</w:t>
            </w:r>
          </w:p>
        </w:tc>
        <w:tc>
          <w:tcPr>
            <w:tcW w:type="dxa" w:w="1440"/>
          </w:tcPr>
          <w:p>
            <w:r>
              <w:rPr>
                <w:sz w:val="16"/>
              </w:rPr>
              <w:t>side boundary street boundary driveway street min 6.0m side setback min 6.0m side setback</w:t>
            </w:r>
          </w:p>
        </w:tc>
        <w:tc>
          <w:tcPr>
            <w:tcW w:type="dxa" w:w="1440"/>
          </w:tcPr>
          <w:p>
            <w:r>
              <w:rPr>
                <w:sz w:val="16"/>
              </w:rPr>
              <w:t>[NEEDS PLANNER INPUT: measure from plans]</w:t>
            </w:r>
          </w:p>
        </w:tc>
        <w:tc>
          <w:tcPr>
            <w:tcW w:type="dxa" w:w="1440"/>
          </w:tcPr>
          <w:p>
            <w:r>
              <w:rPr>
                <w:sz w:val="16"/>
              </w:rPr>
              <w:t>REVIEW</w:t>
            </w:r>
          </w:p>
        </w:tc>
        <w:tc>
          <w:tcPr>
            <w:tcW w:type="dxa" w:w="1440"/>
          </w:tcPr>
          <w:p>
            <w:r>
              <w:rPr>
                <w:sz w:val="16"/>
              </w:rPr>
              <w:t>—</w:t>
            </w:r>
          </w:p>
        </w:tc>
        <w:tc>
          <w:tcPr>
            <w:tcW w:type="dxa" w:w="1440"/>
          </w:tcPr>
          <w:p>
            <w:r>
              <w:rPr>
                <w:sz w:val="16"/>
              </w:rPr>
              <w:t>data/dcp/kdcp-part7-rfb.pdf 7A.3 p10</w:t>
            </w:r>
          </w:p>
        </w:tc>
      </w:tr>
      <w:tr>
        <w:tc>
          <w:tcPr>
            <w:tcW w:type="dxa" w:w="1440"/>
          </w:tcPr>
          <w:p>
            <w:r>
              <w:rPr>
                <w:sz w:val="16"/>
              </w:rPr>
              <w:t>DCP 7A.6 — Deep Soil Landscaping</w:t>
            </w:r>
          </w:p>
        </w:tc>
        <w:tc>
          <w:tcPr>
            <w:tcW w:type="dxa" w:w="1440"/>
          </w:tcPr>
          <w:p>
            <w:r>
              <w:rPr>
                <w:sz w:val="16"/>
              </w:rPr>
              <w:t>Lots with the following sizes are to support a minimum number of tall trees capable of attaining a mature height of at least 18m on shale, transitional soils and 15m on sandstone derived soils.</w:t>
            </w:r>
          </w:p>
        </w:tc>
        <w:tc>
          <w:tcPr>
            <w:tcW w:type="dxa" w:w="1440"/>
          </w:tcPr>
          <w:p>
            <w:r>
              <w:rPr>
                <w:sz w:val="16"/>
              </w:rPr>
              <w:t>[NEEDS PLANNER INPUT: measure from plans]</w:t>
            </w:r>
          </w:p>
        </w:tc>
        <w:tc>
          <w:tcPr>
            <w:tcW w:type="dxa" w:w="1440"/>
          </w:tcPr>
          <w:p>
            <w:r>
              <w:rPr>
                <w:sz w:val="16"/>
              </w:rPr>
              <w:t>REVIEW</w:t>
            </w:r>
          </w:p>
        </w:tc>
        <w:tc>
          <w:tcPr>
            <w:tcW w:type="dxa" w:w="1440"/>
          </w:tcPr>
          <w:p>
            <w:r>
              <w:rPr>
                <w:sz w:val="16"/>
              </w:rPr>
              <w:t>—</w:t>
            </w:r>
          </w:p>
        </w:tc>
        <w:tc>
          <w:tcPr>
            <w:tcW w:type="dxa" w:w="1440"/>
          </w:tcPr>
          <w:p>
            <w:r>
              <w:rPr>
                <w:sz w:val="16"/>
              </w:rPr>
              <w:t>data/dcp/kdcp-part7-rfb.pdf 7A.6 p16</w:t>
            </w:r>
          </w:p>
        </w:tc>
      </w:tr>
      <w:tr>
        <w:tc>
          <w:tcPr>
            <w:tcW w:type="dxa" w:w="1440"/>
          </w:tcPr>
          <w:p>
            <w:r>
              <w:rPr>
                <w:sz w:val="16"/>
              </w:rPr>
              <w:t>DCP 7C.2 — Communal Open Spa</w:t>
            </w:r>
          </w:p>
        </w:tc>
        <w:tc>
          <w:tcPr>
            <w:tcW w:type="dxa" w:w="1440"/>
          </w:tcPr>
          <w:p>
            <w:r>
              <w:rPr>
                <w:sz w:val="16"/>
              </w:rPr>
              <w:t>At least 10% of the site area is to be provided as communal open space. Each parcel of communal open space is to have a minimum dimension of 5m.</w:t>
            </w:r>
          </w:p>
        </w:tc>
        <w:tc>
          <w:tcPr>
            <w:tcW w:type="dxa" w:w="1440"/>
          </w:tcPr>
          <w:p>
            <w:r>
              <w:rPr>
                <w:sz w:val="16"/>
              </w:rPr>
              <w:t>[NEEDS PLANNER INPUT: measure from plans]</w:t>
            </w:r>
          </w:p>
        </w:tc>
        <w:tc>
          <w:tcPr>
            <w:tcW w:type="dxa" w:w="1440"/>
          </w:tcPr>
          <w:p>
            <w:r>
              <w:rPr>
                <w:sz w:val="16"/>
              </w:rPr>
              <w:t>REVIEW</w:t>
            </w:r>
          </w:p>
        </w:tc>
        <w:tc>
          <w:tcPr>
            <w:tcW w:type="dxa" w:w="1440"/>
          </w:tcPr>
          <w:p>
            <w:r>
              <w:rPr>
                <w:sz w:val="16"/>
              </w:rPr>
              <w:t>—</w:t>
            </w:r>
          </w:p>
        </w:tc>
        <w:tc>
          <w:tcPr>
            <w:tcW w:type="dxa" w:w="1440"/>
          </w:tcPr>
          <w:p>
            <w:r>
              <w:rPr>
                <w:sz w:val="16"/>
              </w:rPr>
              <w:t>data/dcp/kdcp-part7-rfb.pdf 7C.2 p25</w:t>
            </w:r>
          </w:p>
        </w:tc>
      </w:tr>
    </w:tbl>
    <w:p>
      <w:pPr>
        <w:pStyle w:val="Heading3"/>
      </w:pPr>
      <w:r>
        <w:t>DCP compliance</w:t>
      </w:r>
    </w:p>
    <w:p>
      <w:r>
        <w:t>[NEEDS PLANNER INPUT: DCP controls table — arrives with the DCP retriever (M3)]</w:t>
      </w:r>
    </w:p>
    <w:p>
      <w:pPr>
        <w:pStyle w:val="Heading2"/>
      </w:pPr>
      <w:r>
        <w:t>7. Section 4.15(1)(b) — likely impacts</w:t>
      </w:r>
    </w:p>
    <w:p>
      <w:r>
        <w:t>- Traffic generation and road network impacts — Adequate on-site parking; GTIA 2024 rates give ~8 AM / 6 PM peak trips for 53 dwellings — minor and acceptable. (assessment_report.pdf p12)</w:t>
      </w:r>
    </w:p>
    <w:p>
      <w:r>
        <w:t>- Street parking, footpath access and blockages during construction — Manageable via Construction Traffic Management Plan condition (as per DA0038/23 condition 6) if approved. (assessment_report.pdf pp12-13)</w:t>
      </w:r>
    </w:p>
    <w:p>
      <w:r>
        <w:t>- Acoustic impacts (operation and construction) — Acoustic report relates to a previous set of plans; forms part of refusal reason 14. Construction noise conditionable. (assessment_report.pdf p13)</w:t>
      </w:r>
    </w:p>
    <w:p>
      <w:r>
        <w:t>- Dust impacts during construction — Conditionable, consistent with DA0038/23. (assessment_report.pdf p13)</w:t>
      </w:r>
    </w:p>
    <w:p>
      <w:pPr>
        <w:pStyle w:val="Heading3"/>
      </w:pPr>
      <w:r>
        <w:t>Design and amenity assessment (ADG / DCP topics — draft, planner to verify)</w:t>
      </w:r>
    </w:p>
    <w:p>
      <w:r>
        <w:t>- Communal Open Space [NEEDS PLANNER INPUT] — The DCP requires at least 10% of the site area (3,360.1m²) to be provided as communal open space, equating to a minimum of 336.0m². The proposal facts state a landscaped area of 1,572m² but do not separately identify the quantum of communal open space or confirm that each parcel meets the minimum 80m² area and 8m dimension requirements. The planner should verify the communal open space schedule in the architectural drawings. Quote: "At least 10% of the site area is to be provided as communal open space. Each parcel of communal open space is to have a minimum dimension of 5m." (KDCP 7C.2 COMMUNAL OPEN SPA p25)</w:t>
      </w:r>
    </w:p>
    <w:p>
      <w:r>
        <w:t>- Communal Open Space [NEEDS PLANNER INPUT] — The DCP requires a primary communal open space of minimum 80m² with a minimum dimension of 8m. The proposal documents do not confirm whether a single primary communal open space parcel meeting these dimensions is provided. Planner should verify against landscape and floor plans. Quote: "i) a minimum area of 80m2; and ii) a minimum dimension of 8m." (KDCP 7C.2 COMMUNAL OPEN SPA p25)</w:t>
      </w:r>
    </w:p>
    <w:p>
      <w:r>
        <w:t>- Building Separation [NEEDS PLANNER INPUT] — The proposal is 8 storeys. The DCP requires 18.0m between habitable rooms/balconies at the 5th storey and above. The proposal facts do not include any building separation dimensions between the two residential flat buildings or to adjoining buildings. The planner must verify separation distances from the architectural drawings, particularly for upper floors. Quote: "5th Storey and above iv) 18.0m between habitable rooms/balconies; v) 13.5m between habitable rooms/balconies and non-habitable rooms; vi) 9.0m between non-habitable rooms." (KDCP 7A.4 BUILDING SEPARA p14)</w:t>
      </w:r>
    </w:p>
    <w:p>
      <w:r>
        <w:t>- Building Separation [NEEDS PLANNER INPUT] — For floors 1–4, the DCP requires 12.0m between habitable rooms/balconies. No separation dimensions are provided in the proposal facts. Planner should verify compliance at all floor levels from the architectural drawings. Quote: "12m between habitable rooms/balconies up to 4th storey" (KDCP 7A.4 BUILDING SEPARA p14)</w:t>
      </w:r>
    </w:p>
    <w:p>
      <w:r>
        <w:t>- Solar Access [⚠️ POTENTIAL ISSUE] — The Clause 4.6 request includes shadow diagrams (Figures 8–11) and a solar table addressing impacts on 23–25 Dumaresq Street, and states the proposal 'does not have any unacceptable overshadowing and privacy impacts of adjoining residential development when compared to a compliant building envelope.' However, the DCP requires that where an adjoining property does not currently receive the required hours of solar access, the proposed building must ensure solar access is not reduced by more than 20%. The planner should verify the solar table confirms this 20% threshold is met for all affected neighbours, not only 23–25 Dumaresq Street. Quote: "the proposed building is to ensure that solar access to neighbours is not reduced by more than 20%." (KDCP 7A.2 SITE LAY p8)</w:t>
      </w:r>
    </w:p>
    <w:p>
      <w:r>
        <w:t>- Natural Ventilation [NEEDS PLANNER INPUT] — [UNGROUNDED — quote not found in inputs; planner to verify] Neither the DCP controls supplied nor the proposal facts address natural ventilation requirements. This topic is not covered by the supplied inputs. Quote: "N/A – topic not addressed in supplied DCP controls or proposal facts." (N/A)</w:t>
      </w:r>
    </w:p>
    <w:p>
      <w:r>
        <w:t>- Privacy [NEEDS PLANNER INPUT] — The Clause 4.6 request states the proposal 'does not have any unacceptable overshadowing and privacy impacts of adjoining residential development when compared to a compliant building envelope.' However, the supplied DCP controls do not include a specific privacy control beyond building separation. The supplied inputs do not provide detail on window/balcony offset, screening, or sill heights. The planner should verify privacy measures against the Apartment Design Guide and any relevant DCP provisions not supplied. Quote: "does not have any unacceptable overshadowing and privacy impacts of adjoining residential development" (Clause 4.6 Variation Request, Section 1 (Introduction))</w:t>
      </w:r>
    </w:p>
    <w:p>
      <w:r>
        <w:t>- Building Entry [NEEDS PLANNER INPUT] — The DCP requires entry foyers to be no more than 1m above ground level and building entry paths to be minimum 1.2m wide with 1.2m landscape planting on either side. The proposal facts do not confirm foyer finished floor levels or entry path widths. Given the sloping site and basement parking, the planner should verify these requirements from the architectural drawings. Quote: "Entry foyers are to be no more than 1m above ground level. Any ramped access required is to be integrated into the design of the building or landscape." (KDCP 7C.4 APARTMENT MIX AND ACCESSIBILITY p29)</w:t>
      </w:r>
    </w:p>
    <w:p>
      <w:r>
        <w:t>- Building Entry [NEEDS PLANNER INPUT] — The DCP requires building entry paths to be minimum 1.2m wide, located within the common area with a minimum dimension of 1.2m on either side for landscape planting. No path width or landscape strip dimensions are provided in the proposal facts. Planner should verify from landscape and architectural plans. Quote: "Building entry paths are to be minimum 1.2m wide and located within the common area with a minimum dimension of 1.2m on either side for landscape planting." (KDCP 7C.5 BUILDING ENTRIES p30)</w:t>
      </w:r>
    </w:p>
    <w:p>
      <w:r>
        <w:t>- Internal Corridors [NEEDS PLANNER INPUT] — The DCP requires all common circulation corridors to be at least 1.5m wide and the area outside lifts to be at least 1.8m wide. The proposal facts do not include corridor or lift lobby dimensions. Planner should verify from floor plans. Quote: "All common circulation corridors are to be at least 1.5m wide, and the area outside lifts is to be at least 1.8m wide." (KDCP 7C.5 BUILDING ENTRIES p30)</w:t>
      </w:r>
    </w:p>
    <w:p>
      <w:r>
        <w:t>- Amenity of Living Rooms and Balconies [NEEDS PLANNER INPUT] — [UNGROUNDED — quote not found in inputs; planner to verify] The supplied DCP controls do not include specific controls for minimum solar access to individual apartments or minimum balcony dimensions. The Apartment Design Guide would normally govern these matters. The supplied inputs do not cover this topic in sufficient detail for a complete assessment. Quote: "N/A – supplied DCP controls do not address minimum solar access to individual apartments or balcony dimensions." (N/A)</w:t>
      </w:r>
    </w:p>
    <w:p>
      <w:r>
        <w:t>- Facade Articulation [NEEDS PLANNER INPUT] — The DCP requires that no single wall plane exceeds 81m² in area and that all facades are articulated with wall planes varying in depth by not less than 0.6m. The proposal facts do not include facade dimensions or articulation details. Given the 8-storey scale of the building, the planner should verify compliance with the 81m² wall plane limit and 0.6m minimum articulation depth from the architectural drawings. Quote: "No single wall plane is to exceed 81m2 in area." (KDCP 7C.6 BUILDING FORM AND FACADES p32)</w:t>
      </w:r>
    </w:p>
    <w:p>
      <w:r>
        <w:t>- Facade Articulation [NEEDS PLANNER INPUT] — The DCP requires facade articulation to be 0.6–2.5m in depth. The Clause 4.6 request references architectural drawings by Giles Tribe Architects but no articulation depths are stated in the supplied facts. Planner should verify from elevation drawings. Quote: "Facade articulation to be 0.6-2.5m in depth." (KDCP 7C.6 BUILDING FORM AND FACADES p32)</w:t>
      </w:r>
    </w:p>
    <w:p>
      <w:r>
        <w:t>- Top Storey Design and Setbacks [NEEDS PLANNER INPUT] — The DCP requires the top storey to be set back a minimum of 2.4m from the outer face of the floors below on all sides. The proposal facts do not confirm whether the 8th storey complies with this requirement. The planner should verify from the architectural drawings and elevations. Quote: "The top storey of a building is to be set back a minimum of 2.4m from the outer face of the floors below on all sides" (KDCP 7C.8 TOP STOREY DESIGN AND ROOF FORMS p37)</w:t>
      </w:r>
    </w:p>
    <w:p>
      <w:r>
        <w:t>- Top Storey Design and Setbacks [NEEDS PLANNER INPUT] — The DCP requires the GFA of the top storey not to exceed 60% of the GFA of the storey immediately below. The proposal facts provide total GFA (9,114.1m²) but do not break down GFA by floor. The planner should verify the floor-by-floor GFA schedule to confirm the 8th storey complies. Quote: "the GFA of the top storey of a residential flat building does not exceed 60% of the GFA of the storey immediately below it" (KDCP 7C.7 BUILDING STOREYS p36)</w:t>
      </w:r>
    </w:p>
    <w:p>
      <w:r>
        <w:t>- Top Storey Design and Setbacks [NEEDS PLANNER INPUT] — The DCP requires roof design to respond to solar access and prevailing weather with eaves, skillion roofs, awnings or similar with a minimum overhang of 0.6m. The proposal facts do not describe the roof form or overhang dimensions. Planner should verify from architectural drawings. Quote: "Roof design is to respond to solar access and prevailing weather with the use of eaves, skillion roofs, awnings and the like with a minimum overhang of 0.6m." (KDCP 7C.8 TOP STOREY DESIGN AND ROOF FORMS p37)</w:t>
      </w:r>
    </w:p>
    <w:p>
      <w:r>
        <w:t>- Integration of Services [NEEDS PLANNER INPUT] — [UNGROUNDED — quote not found in inputs; planner to verify] The supplied DCP controls reference laundry and air clothes drying (KDCP 7C.9) only in the context of fence heights, not service integration per se. No proposal facts address service integration, screening of mechanical plant, or clothes drying facilities. The supplied inputs do not cover this topic sufficiently. Quote: "N/A – supplied DCP controls and proposal facts do not address integration of mechanical services or clothes drying facilities in detail." (N/A)</w:t>
      </w:r>
    </w:p>
    <w:p>
      <w:r>
        <w:t>- Deep Soil Landscaping [NEEDS PLANNER INPUT] — The DCP requires tall trees capable of attaining a mature height of at least 18m (shale/transitional soils) or 15m (sandstone soils) at a rate of 1 per 350m² or 1 per 400m² of site area depending on soil type. For a 3,360.1m² site, this equates to approximately 8–9 trees minimum. The proposal facts state a landscaped area of 1,572m² but do not confirm the number, species, or soil type applicable. The planner should verify the landscape plan for compliance with the tree planting rate. Quote: "1 per 400m2 of site area or part thereof" (KDCP 7A.6 DEEP SOIL LANDSCAPING p16)</w:t>
      </w:r>
    </w:p>
    <w:p>
      <w:r>
        <w:t>- Deep Soil Landscaping [NEEDS PLANNER INPUT] — The DCP limits site coverage to a maximum of 30% of the site area (3,360.1m² × 30% = 1,008.0m²). The proposal facts do not state the site coverage footprint. The planner should verify the site coverage calculation from the architectural drawings, noting that any access handle area must also be deducted per the formula in KDCP 7A.5. Quote: "The site coverage may be up to a maximum of 30% of the site area, provided that the deep soil landscaping requirements in Section A" (KDCP 7A.5 SITE COVERAG p15)</w:t>
      </w:r>
    </w:p>
    <w:p>
      <w:r>
        <w:t>- Desired Future Character [⚠️ POTENTIAL ISSUE] — The proposed building height of 30.48m exceeds the maximum permissible height of 26.4m (inclusive of the 20% affordable housing bonus) by 4.08m or 15.45%. The Clause 4.6 request argues the exceedance is unreasonable and unnecessary, citing the sloping site, emerging high-density context, and the Ku-ring-gai TOD Exhibition preferred scenario. However, the proposal facts confirm the exceedance and the Clause 4.6 request has been submitted. The planner must assess whether the justification is well-founded and whether the variation is consistent with the desired future character of the R4 zone and the emerging TOD context. Quote: "the proposal exceeds the maximum permissible building height by 4.08m or 15.45% when measured from existing ground level." (Clause 4.6 Variation Request, Section 1 (Introduction))</w:t>
      </w:r>
    </w:p>
    <w:p>
      <w:pPr>
        <w:pStyle w:val="Heading2"/>
      </w:pPr>
      <w:r>
        <w:t>8. Section 4.15(1)(c) — suitability of the site</w:t>
      </w:r>
    </w:p>
    <w:p>
      <w:r>
        <w:t>[NEEDS PLANNER INPUT: site suitability conclusion]</w:t>
      </w:r>
    </w:p>
    <w:p>
      <w:pPr>
        <w:pStyle w:val="Heading2"/>
      </w:pPr>
      <w:r>
        <w:t>9. Section 4.15(1)(d) — submissions</w:t>
      </w:r>
    </w:p>
    <w:p>
      <w:r>
        <w:t>3 submissions were received. Issues raised and draft responses: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Issue</w:t>
            </w:r>
          </w:p>
        </w:tc>
        <w:tc>
          <w:tcPr>
            <w:tcW w:type="dxa" w:w="1728"/>
          </w:tcPr>
          <w:p>
            <w:r>
              <w:rPr>
                <w:sz w:val="16"/>
              </w:rPr>
              <w:t>Count</w:t>
            </w:r>
          </w:p>
        </w:tc>
        <w:tc>
          <w:tcPr>
            <w:tcW w:type="dxa" w:w="1728"/>
          </w:tcPr>
          <w:p>
            <w:r>
              <w:rPr>
                <w:sz w:val="16"/>
              </w:rPr>
              <w:t>Head of consideration</w:t>
            </w:r>
          </w:p>
        </w:tc>
        <w:tc>
          <w:tcPr>
            <w:tcW w:type="dxa" w:w="1728"/>
          </w:tcPr>
          <w:p>
            <w:r>
              <w:rPr>
                <w:sz w:val="16"/>
              </w:rPr>
              <w:t>Draft response</w:t>
            </w:r>
          </w:p>
        </w:tc>
        <w:tc>
          <w:tcPr>
            <w:tcW w:type="dxa" w:w="1728"/>
          </w:tcPr>
          <w:p>
            <w:r>
              <w:rPr>
                <w:sz w:val="16"/>
              </w:rPr>
              <w:t>Source</w:t>
            </w:r>
          </w:p>
        </w:tc>
      </w:tr>
      <w:tr>
        <w:tc>
          <w:tcPr>
            <w:tcW w:type="dxa" w:w="1728"/>
          </w:tcPr>
          <w:p>
            <w:r>
              <w:rPr>
                <w:sz w:val="16"/>
              </w:rPr>
              <w:t>Traffic generation and road network impacts</w:t>
            </w:r>
          </w:p>
        </w:tc>
        <w:tc>
          <w:tcPr>
            <w:tcW w:type="dxa" w:w="1728"/>
          </w:tcPr>
          <w:p>
            <w:r>
              <w:rPr>
                <w:sz w:val="16"/>
              </w:rPr>
              <w:t>1</w:t>
            </w:r>
          </w:p>
        </w:tc>
        <w:tc>
          <w:tcPr>
            <w:tcW w:type="dxa" w:w="1728"/>
          </w:tcPr>
          <w:p>
            <w:r>
              <w:rPr>
                <w:sz w:val="16"/>
              </w:rPr>
              <w:t>4.15(1)(b) likely impacts — traffic</w:t>
            </w:r>
          </w:p>
        </w:tc>
        <w:tc>
          <w:tcPr>
            <w:tcW w:type="dxa" w:w="1728"/>
          </w:tcPr>
          <w:p>
            <w:r>
              <w:rPr>
                <w:sz w:val="16"/>
              </w:rPr>
              <w:t>Adequate on-site parking; GTIA 2024 rates give ~8 AM / 6 PM peak trips for 53 dwellings — minor and acceptable.</w:t>
            </w:r>
          </w:p>
        </w:tc>
        <w:tc>
          <w:tcPr>
            <w:tcW w:type="dxa" w:w="1728"/>
          </w:tcPr>
          <w:p>
            <w:r>
              <w:rPr>
                <w:sz w:val="16"/>
              </w:rPr>
              <w:t>assessment_report.pdf p12</w:t>
            </w:r>
          </w:p>
        </w:tc>
      </w:tr>
      <w:tr>
        <w:tc>
          <w:tcPr>
            <w:tcW w:type="dxa" w:w="1728"/>
          </w:tcPr>
          <w:p>
            <w:r>
              <w:rPr>
                <w:sz w:val="16"/>
              </w:rPr>
              <w:t>Street parking, footpath access and blockages during construction</w:t>
            </w:r>
          </w:p>
        </w:tc>
        <w:tc>
          <w:tcPr>
            <w:tcW w:type="dxa" w:w="1728"/>
          </w:tcPr>
          <w:p>
            <w:r>
              <w:rPr>
                <w:sz w:val="16"/>
              </w:rPr>
              <w:t>2</w:t>
            </w:r>
          </w:p>
        </w:tc>
        <w:tc>
          <w:tcPr>
            <w:tcW w:type="dxa" w:w="1728"/>
          </w:tcPr>
          <w:p>
            <w:r>
              <w:rPr>
                <w:sz w:val="16"/>
              </w:rPr>
              <w:t>4.15(1)(b) likely impacts — construction amenity</w:t>
            </w:r>
          </w:p>
        </w:tc>
        <w:tc>
          <w:tcPr>
            <w:tcW w:type="dxa" w:w="1728"/>
          </w:tcPr>
          <w:p>
            <w:r>
              <w:rPr>
                <w:sz w:val="16"/>
              </w:rPr>
              <w:t>Manageable via Construction Traffic Management Plan condition (as per DA0038/23 condition 6) if approved.</w:t>
            </w:r>
          </w:p>
        </w:tc>
        <w:tc>
          <w:tcPr>
            <w:tcW w:type="dxa" w:w="1728"/>
          </w:tcPr>
          <w:p>
            <w:r>
              <w:rPr>
                <w:sz w:val="16"/>
              </w:rPr>
              <w:t>assessment_report.pdf pp12-13</w:t>
            </w:r>
          </w:p>
        </w:tc>
      </w:tr>
      <w:tr>
        <w:tc>
          <w:tcPr>
            <w:tcW w:type="dxa" w:w="1728"/>
          </w:tcPr>
          <w:p>
            <w:r>
              <w:rPr>
                <w:sz w:val="16"/>
              </w:rPr>
              <w:t>Acoustic impacts (operation and construction)</w:t>
            </w:r>
          </w:p>
        </w:tc>
        <w:tc>
          <w:tcPr>
            <w:tcW w:type="dxa" w:w="1728"/>
          </w:tcPr>
          <w:p>
            <w:r>
              <w:rPr>
                <w:sz w:val="16"/>
              </w:rPr>
              <w:t>1</w:t>
            </w:r>
          </w:p>
        </w:tc>
        <w:tc>
          <w:tcPr>
            <w:tcW w:type="dxa" w:w="1728"/>
          </w:tcPr>
          <w:p>
            <w:r>
              <w:rPr>
                <w:sz w:val="16"/>
              </w:rPr>
              <w:t>4.15(1)(b) likely impacts — noise</w:t>
            </w:r>
          </w:p>
        </w:tc>
        <w:tc>
          <w:tcPr>
            <w:tcW w:type="dxa" w:w="1728"/>
          </w:tcPr>
          <w:p>
            <w:r>
              <w:rPr>
                <w:sz w:val="16"/>
              </w:rPr>
              <w:t>Acoustic report relates to a previous set of plans; forms part of refusal reason 14. Construction noise conditionable.</w:t>
            </w:r>
          </w:p>
        </w:tc>
        <w:tc>
          <w:tcPr>
            <w:tcW w:type="dxa" w:w="1728"/>
          </w:tcPr>
          <w:p>
            <w:r>
              <w:rPr>
                <w:sz w:val="16"/>
              </w:rPr>
              <w:t>assessment_report.pdf p13</w:t>
            </w:r>
          </w:p>
        </w:tc>
      </w:tr>
      <w:tr>
        <w:tc>
          <w:tcPr>
            <w:tcW w:type="dxa" w:w="1728"/>
          </w:tcPr>
          <w:p>
            <w:r>
              <w:rPr>
                <w:sz w:val="16"/>
              </w:rPr>
              <w:t>Dust impacts during construction</w:t>
            </w:r>
          </w:p>
        </w:tc>
        <w:tc>
          <w:tcPr>
            <w:tcW w:type="dxa" w:w="1728"/>
          </w:tcPr>
          <w:p>
            <w:r>
              <w:rPr>
                <w:sz w:val="16"/>
              </w:rPr>
              <w:t>1</w:t>
            </w:r>
          </w:p>
        </w:tc>
        <w:tc>
          <w:tcPr>
            <w:tcW w:type="dxa" w:w="1728"/>
          </w:tcPr>
          <w:p>
            <w:r>
              <w:rPr>
                <w:sz w:val="16"/>
              </w:rPr>
              <w:t>4.15(1)(b) likely impacts — air/amenity</w:t>
            </w:r>
          </w:p>
        </w:tc>
        <w:tc>
          <w:tcPr>
            <w:tcW w:type="dxa" w:w="1728"/>
          </w:tcPr>
          <w:p>
            <w:r>
              <w:rPr>
                <w:sz w:val="16"/>
              </w:rPr>
              <w:t>Conditionable, consistent with DA0038/23.</w:t>
            </w:r>
          </w:p>
        </w:tc>
        <w:tc>
          <w:tcPr>
            <w:tcW w:type="dxa" w:w="1728"/>
          </w:tcPr>
          <w:p>
            <w:r>
              <w:rPr>
                <w:sz w:val="16"/>
              </w:rPr>
              <w:t>assessment_report.pdf p13</w:t>
            </w:r>
          </w:p>
        </w:tc>
      </w:tr>
      <w:tr>
        <w:tc>
          <w:tcPr>
            <w:tcW w:type="dxa" w:w="1728"/>
          </w:tcPr>
          <w:p>
            <w:r>
              <w:rPr>
                <w:sz w:val="16"/>
              </w:rPr>
              <w:t>Increased density / unclear FSR and built form</w:t>
            </w:r>
          </w:p>
        </w:tc>
        <w:tc>
          <w:tcPr>
            <w:tcW w:type="dxa" w:w="1728"/>
          </w:tcPr>
          <w:p>
            <w:r>
              <w:rPr>
                <w:sz w:val="16"/>
              </w:rPr>
              <w:t>1</w:t>
            </w:r>
          </w:p>
        </w:tc>
        <w:tc>
          <w:tcPr>
            <w:tcW w:type="dxa" w:w="1728"/>
          </w:tcPr>
          <w:p>
            <w:r>
              <w:rPr>
                <w:sz w:val="16"/>
              </w:rPr>
              <w:t>4.15(1)(a) EPIs — FSR standard</w:t>
            </w:r>
          </w:p>
        </w:tc>
        <w:tc>
          <w:tcPr>
            <w:tcW w:type="dxa" w:w="1728"/>
          </w:tcPr>
          <w:p>
            <w:r>
              <w:rPr>
                <w:sz w:val="16"/>
              </w:rPr>
              <w:t>FSR calculation unclear and non-compliant; underpins refusal reason 6 (affordable housing) and reason 1 (GFA).</w:t>
            </w:r>
          </w:p>
        </w:tc>
        <w:tc>
          <w:tcPr>
            <w:tcW w:type="dxa" w:w="1728"/>
          </w:tcPr>
          <w:p>
            <w:r>
              <w:rPr>
                <w:sz w:val="16"/>
              </w:rPr>
              <w:t>assessment_report.pdf p13</w:t>
            </w:r>
          </w:p>
        </w:tc>
      </w:tr>
    </w:tbl>
    <w:p>
      <w:pPr>
        <w:pStyle w:val="Heading2"/>
      </w:pPr>
      <w:r>
        <w:t>10. Section 4.15(1)(e) — public interest</w:t>
      </w:r>
    </w:p>
    <w:p>
      <w:r>
        <w:t>The public interest is served by the consistent application of the relevant environmental</w:t>
      </w:r>
    </w:p>
    <w:p>
      <w:r>
        <w:t>planning instruments. [NEEDS PLANNER INPUT: confirm]</w:t>
      </w:r>
    </w:p>
    <w:p>
      <w:pPr>
        <w:pStyle w:val="Heading2"/>
      </w:pPr>
      <w:r>
        <w:t>11. Reasons for refusal (draft)</w:t>
      </w:r>
    </w:p>
    <w:p>
      <w:r>
        <w:t>1. Floor Space Ratio does not comply: proposed 2.71:1 (9114.1 m2 GFA / 3360.1 m2 site) against a requirement of 2.2:1 (base; uplift only with qualifying affordable housing) (+23.29% above base FSR). Source: data/seeds/mcintyre/assessment_report.pdf p18.</w:t>
      </w:r>
    </w:p>
    <w:p>
      <w:r>
        <w:t>2. Affordable housing component (SEPP Housing s16(2)) does not comply: proposed 9.6% (872.9 m2 of 9114.1 m2) against a requirement of &gt;= 10.0% of total GFA to access any FSR/height bonus (0.4 percentage points below minimum). Source: data/seeds/mcintyre/assessment_report.pdf p18.</w:t>
      </w:r>
    </w:p>
    <w:p>
      <w:r>
        <w:t>3. Height of Building does not comply: proposed 30.48 m (8 storeys) against a requirement of 26.4 m (base 22.0 m incl 20% bonus) (+4.08 m (15.5%)). Source: data/seeds/mcintyre/assessment_report.pdf p19.</w:t>
      </w:r>
    </w:p>
    <w:p>
      <w:r>
        <w:t>4. DCP 7C.6 — maximum building length does not comply: proposed 52.3 m (assessment_report.pdf p57 (Building A length 52.3m)) against a requirement of Continuous length of a single building on any elevation &lt;= 36 m (+16.3 m). Source: data/dcp/kdcp-part7-rfb.pdf 7C.6 p32.</w:t>
      </w:r>
    </w:p>
    <w:p>
      <w:pPr>
        <w:pStyle w:val="Heading2"/>
      </w:pPr>
      <w:r>
        <w:t>12. Conclusion</w:t>
      </w:r>
    </w:p>
    <w:p>
      <w:r>
        <w:t>Having regard to section 4.15 of the Environmental Planning and Assessment Act 1979, the</w:t>
      </w:r>
    </w:p>
    <w:p>
      <w:r>
        <w:t>draft assessment supports refusal. A planning officer must review every section before</w:t>
      </w:r>
    </w:p>
    <w:p>
      <w:r>
        <w:t>this assessment is relied upon.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