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t xml:space="preserve"/>
      </w:r>
    </w:p>
    <w:p>
      <w:pPr>
        <w:spacing w:after="200"/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00080"/>
          <w:spacing w:val="200"/>
          <w:sz w:val="60"/>
          <w:szCs w:val="60"/>
        </w:rPr>
        <w:t xml:space="preserve">VERIDRIVE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D4AF37"/>
          <w:spacing w:val="300"/>
          <w:sz w:val="26"/>
          <w:szCs w:val="26"/>
        </w:rPr>
        <w:t xml:space="preserve">BRAND GUIDE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Trusted Vehicle Sourcing &amp; Cross-Border Concierge</w:t>
      </w:r>
    </w:p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00008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D4AF37"/>
                <w:sz w:val="26"/>
                <w:szCs w:val="26"/>
              </w:rPr>
              <w:t xml:space="preserve">"Verified vehicles. Transparent process."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899AA"/>
                <w:sz w:val="18"/>
                <w:szCs w:val="18"/>
              </w:rPr>
              <w:t xml:space="preserve">Seattle, WA  ·  May 2026  ·  For internal use — do not share publicly</w:t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bottom w:val="single" w:color="D4AF37" w:sz="6" w:space="1"/>
        </w:pBdr>
        <w:spacing w:after="160" w:before="160"/>
      </w:pPr>
      <w:r>
        <w:t xml:space="preserv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000080"/>
          <w:sz w:val="34"/>
          <w:szCs w:val="34"/>
        </w:rPr>
        <w:t xml:space="preserve">01  Brand Overview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VeriDrive is a trusted vehicle sourcing and cross-border auto concierge business based in Seattle, helping people safely source, verify, and export quality vehicles from the United States.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4AF37"/>
          <w:spacing w:val="120"/>
          <w:sz w:val="17"/>
          <w:szCs w:val="17"/>
        </w:rPr>
        <w:t xml:space="preserve">MISSION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To make every vehicle transaction — whether across town or across the ocean — completely transparent, verifiable, and stress-free for the buyer.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4AF37"/>
          <w:spacing w:val="120"/>
          <w:sz w:val="17"/>
          <w:szCs w:val="17"/>
        </w:rPr>
        <w:t xml:space="preserve">TAGLINE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000080"/>
          <w:sz w:val="26"/>
          <w:szCs w:val="26"/>
        </w:rPr>
        <w:t xml:space="preserve">"Verified vehicles. Transparent process."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 in: website hero, social bio, pitch decks, email signatures. Do not alter the wording.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4AF37"/>
          <w:spacing w:val="120"/>
          <w:sz w:val="17"/>
          <w:szCs w:val="17"/>
        </w:rPr>
        <w:t xml:space="preserve">BUSINESS MODEL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Paid sourcing concierge + lead-generation affiliate + cross-border export advisor. Asset-light — zero inventory.</w:t>
      </w:r>
    </w:p>
    <w:p>
      <w:pPr>
        <w:spacing w:after="160"/>
      </w:pPr>
      <w:r>
        <w:t xml:space="preserve"/>
      </w:r>
    </w:p>
    <w:p>
      <w:pPr>
        <w:pBdr>
          <w:bottom w:val="single" w:color="D4AF37" w:sz="6" w:space="1"/>
        </w:pBdr>
        <w:spacing w:after="160" w:before="160"/>
      </w:pPr>
      <w:r>
        <w:t xml:space="preserv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000080"/>
          <w:sz w:val="34"/>
          <w:szCs w:val="34"/>
        </w:rPr>
        <w:t xml:space="preserve">02  Brand Values</w:t>
      </w:r>
    </w:p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0"/>
        <w:gridCol w:w="1840"/>
        <w:gridCol w:w="1840"/>
        <w:gridCol w:w="1840"/>
        <w:gridCol w:w="1840"/>
      </w:tblGrid>
      <w:tr>
        <w:tc>
          <w:tcPr>
            <w:tcW w:type="dxa" w:w="184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000080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4AF37"/>
                <w:sz w:val="19"/>
                <w:szCs w:val="19"/>
              </w:rPr>
              <w:t xml:space="preserve">Trustworthy</w:t>
            </w:r>
          </w:p>
        </w:tc>
        <w:tc>
          <w:tcPr>
            <w:tcW w:type="dxa" w:w="184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000080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4AF37"/>
                <w:sz w:val="19"/>
                <w:szCs w:val="19"/>
              </w:rPr>
              <w:t xml:space="preserve">Transparent</w:t>
            </w:r>
          </w:p>
        </w:tc>
        <w:tc>
          <w:tcPr>
            <w:tcW w:type="dxa" w:w="184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000080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4AF37"/>
                <w:sz w:val="19"/>
                <w:szCs w:val="19"/>
              </w:rPr>
              <w:t xml:space="preserve">Operationally Reliable</w:t>
            </w:r>
          </w:p>
        </w:tc>
        <w:tc>
          <w:tcPr>
            <w:tcW w:type="dxa" w:w="184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000080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4AF37"/>
                <w:sz w:val="19"/>
                <w:szCs w:val="19"/>
              </w:rPr>
              <w:t xml:space="preserve">Internationally Credible</w:t>
            </w:r>
          </w:p>
        </w:tc>
        <w:tc>
          <w:tcPr>
            <w:tcW w:type="dxa" w:w="184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000080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4AF37"/>
                <w:sz w:val="19"/>
                <w:szCs w:val="19"/>
              </w:rPr>
              <w:t xml:space="preserve">Premium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4AF37"/>
          <w:spacing w:val="120"/>
          <w:sz w:val="17"/>
          <w:szCs w:val="17"/>
        </w:rPr>
        <w:t xml:space="preserve">AESTHETIC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Minimal Luxury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Modern Logistics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Understated Sophistication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Documentary-style Realism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4AF37"/>
          <w:spacing w:val="120"/>
          <w:sz w:val="17"/>
          <w:szCs w:val="17"/>
        </w:rPr>
        <w:t xml:space="preserve">TONE OF VOICE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Trustworthy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Professional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Transparent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Calm</w:t>
      </w:r>
    </w:p>
    <w:p>
      <w:pPr>
        <w:spacing w:after="160"/>
      </w:pPr>
      <w:r>
        <w:t xml:space="preserve"/>
      </w:r>
    </w:p>
    <w:p>
      <w:pPr>
        <w:pBdr>
          <w:bottom w:val="single" w:color="D4AF37" w:sz="6" w:space="1"/>
        </w:pBdr>
        <w:spacing w:after="160" w:before="160"/>
      </w:pPr>
      <w:r>
        <w:t xml:space="preserv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000080"/>
          <w:sz w:val="34"/>
          <w:szCs w:val="34"/>
        </w:rPr>
        <w:t xml:space="preserve">03  Logo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VeriDrive logo consists of a V-mark — a white chevron with an Antique Gold accent stroke — set on a Maritime Blue square with rounded corners.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logo was derived from the Pomelli brand guide and refined for alignment — adjusting the proportions of the gold chevron against the white V and optimising how the mark sits on the Maritime Blue background. The version in the founders document and blueprint reflects this refined interpretation.</w:t>
      </w:r>
    </w:p>
    <w:p>
      <w:pPr>
        <w:spacing w:after="80"/>
      </w:pPr>
      <w:r>
        <w:t xml:space="preserve"/>
      </w:r>
    </w:p>
    <w:p>
      <w:pPr>
        <w:spacing w:after="200" w:before="160"/>
        <w:jc w:val="center"/>
      </w:pPr>
      <w:r>
        <w:drawing>
          <wp:inline distT="0" distB="0" distL="0" distR="0">
            <wp:extent cx="11430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4AF37"/>
          <w:spacing w:val="120"/>
          <w:sz w:val="17"/>
          <w:szCs w:val="17"/>
        </w:rPr>
        <w:t xml:space="preserve">LOGO VERSIONS REQUIRED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Primary — Maritime Blue background (VeriDrive_Logo.png ✓ created)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Transparent background (VeriDrive_Logo_Transparent.png ✓ created)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SVG vector format (VeriDrive_Logo.svg ✓ created)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White/reversed version — for use on dark photo backgrounds (F3 to create)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Full colour on white — for light surface use (F3 to create)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4AF37"/>
          <w:spacing w:val="120"/>
          <w:sz w:val="17"/>
          <w:szCs w:val="17"/>
        </w:rPr>
        <w:t xml:space="preserve">LOGO USAGE RULES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Do not change the logo colours. Do not stretch or distort. Do not place on backgrounds that conflict with Maritime Blue. Minimum size: 24px height on screen, 8mm in print. Always maintain clear space equal to the height of the V mark on all sides.</w:t>
      </w:r>
    </w:p>
    <w:p>
      <w:pPr>
        <w:spacing w:after="160"/>
      </w:pPr>
      <w:r>
        <w:t xml:space="preserve"/>
      </w:r>
    </w:p>
    <w:p>
      <w:pPr>
        <w:pBdr>
          <w:bottom w:val="single" w:color="D4AF37" w:sz="6" w:space="1"/>
        </w:pBdr>
        <w:spacing w:after="160" w:before="160"/>
      </w:pPr>
      <w:r>
        <w:t xml:space="preserv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000080"/>
          <w:sz w:val="34"/>
          <w:szCs w:val="34"/>
        </w:rPr>
        <w:t xml:space="preserve">04  Colour Palette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These are the five official VeriDrive brand colours as defined in the Pomelli brand guide. Use exact hex values only. Do not substitute approximations.</w:t>
      </w:r>
    </w:p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1100"/>
        <w:gridCol w:w="1500"/>
        <w:gridCol w:w="1100"/>
        <w:gridCol w:w="3300"/>
      </w:tblGrid>
      <w:tr>
        <w:tc>
          <w:tcPr>
            <w:tcW w:type="dxa" w:w="7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000080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000080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000080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15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000080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RGB</w:t>
            </w:r>
          </w:p>
        </w:tc>
        <w:tc>
          <w:tcPr>
            <w:tcW w:type="dxa" w:w="11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000080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CMYK</w:t>
            </w:r>
          </w:p>
        </w:tc>
        <w:tc>
          <w:tcPr>
            <w:tcW w:type="dxa" w:w="33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000080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Use</w:t>
            </w:r>
          </w:p>
        </w:tc>
      </w:tr>
      <w:tr>
        <w:tc>
          <w:tcPr>
            <w:tcW w:type="dxa" w:w="7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000080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Maritime Blue</w:t>
            </w:r>
          </w:p>
        </w:tc>
        <w:tc>
          <w:tcPr>
            <w:tcW w:type="dxa" w:w="11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#000080</w:t>
            </w:r>
          </w:p>
        </w:tc>
        <w:tc>
          <w:tcPr>
            <w:tcW w:type="dxa" w:w="15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0, 0, 128</w:t>
            </w:r>
          </w:p>
        </w:tc>
        <w:tc>
          <w:tcPr>
            <w:tcW w:type="dxa" w:w="11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100%, 100%, 0%, 49.8%</w:t>
            </w:r>
          </w:p>
        </w:tc>
        <w:tc>
          <w:tcPr>
            <w:tcW w:type="dxa" w:w="33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Primary — headers, CTAs, dark surfaces, logo base</w:t>
            </w:r>
          </w:p>
        </w:tc>
      </w:tr>
      <w:tr>
        <w:tc>
          <w:tcPr>
            <w:tcW w:type="dxa" w:w="7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D4AF37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Antique Gold</w:t>
            </w:r>
          </w:p>
        </w:tc>
        <w:tc>
          <w:tcPr>
            <w:tcW w:type="dxa" w:w="11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#D4AF37</w:t>
            </w:r>
          </w:p>
        </w:tc>
        <w:tc>
          <w:tcPr>
            <w:tcW w:type="dxa" w:w="15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212, 175, 55</w:t>
            </w:r>
          </w:p>
        </w:tc>
        <w:tc>
          <w:tcPr>
            <w:tcW w:type="dxa" w:w="11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0%, 17.45%, 74.06%, 16.86%</w:t>
            </w:r>
          </w:p>
        </w:tc>
        <w:tc>
          <w:tcPr>
            <w:tcW w:type="dxa" w:w="33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Accent — logo mark, highlights, verified badge, dividers</w:t>
            </w:r>
          </w:p>
        </w:tc>
      </w:tr>
      <w:tr>
        <w:tc>
          <w:tcPr>
            <w:tcW w:type="dxa" w:w="7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333333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Onyx Black</w:t>
            </w:r>
          </w:p>
        </w:tc>
        <w:tc>
          <w:tcPr>
            <w:tcW w:type="dxa" w:w="11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#333333</w:t>
            </w:r>
          </w:p>
        </w:tc>
        <w:tc>
          <w:tcPr>
            <w:tcW w:type="dxa" w:w="15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51, 51, 51</w:t>
            </w:r>
          </w:p>
        </w:tc>
        <w:tc>
          <w:tcPr>
            <w:tcW w:type="dxa" w:w="11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0%, 0%, 0%, 80%</w:t>
            </w:r>
          </w:p>
        </w:tc>
        <w:tc>
          <w:tcPr>
            <w:tcW w:type="dxa" w:w="33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Body text, secondary surfaces, icon fills</w:t>
            </w:r>
          </w:p>
        </w:tc>
      </w:tr>
      <w:tr>
        <w:tc>
          <w:tcPr>
            <w:tcW w:type="dxa" w:w="7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C0C0C0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Sterling Silver</w:t>
            </w:r>
          </w:p>
        </w:tc>
        <w:tc>
          <w:tcPr>
            <w:tcW w:type="dxa" w:w="11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#C0C0C0</w:t>
            </w:r>
          </w:p>
        </w:tc>
        <w:tc>
          <w:tcPr>
            <w:tcW w:type="dxa" w:w="15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192, 192, 192</w:t>
            </w:r>
          </w:p>
        </w:tc>
        <w:tc>
          <w:tcPr>
            <w:tcW w:type="dxa" w:w="11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0%, 0%, 0%, 24.71%</w:t>
            </w:r>
          </w:p>
        </w:tc>
        <w:tc>
          <w:tcPr>
            <w:tcW w:type="dxa" w:w="33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Borders, dividers, inactive states, captions</w:t>
            </w:r>
          </w:p>
        </w:tc>
      </w:tr>
      <w:tr>
        <w:tc>
          <w:tcPr>
            <w:tcW w:type="dxa" w:w="7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Chalk White</w:t>
            </w:r>
          </w:p>
        </w:tc>
        <w:tc>
          <w:tcPr>
            <w:tcW w:type="dxa" w:w="11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#F8F8F8</w:t>
            </w:r>
          </w:p>
        </w:tc>
        <w:tc>
          <w:tcPr>
            <w:tcW w:type="dxa" w:w="15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248, 248, 248</w:t>
            </w:r>
          </w:p>
        </w:tc>
        <w:tc>
          <w:tcPr>
            <w:tcW w:type="dxa" w:w="11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0%, 0%, 0%, 2.75%</w:t>
            </w:r>
          </w:p>
        </w:tc>
        <w:tc>
          <w:tcPr>
            <w:tcW w:type="dxa" w:w="33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Page backgrounds, card surfaces, light panels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4AF37"/>
          <w:spacing w:val="120"/>
          <w:sz w:val="17"/>
          <w:szCs w:val="17"/>
        </w:rPr>
        <w:t xml:space="preserve">COLOUR USAGE RULES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Maritime Blue is always the dominant colour on dark surfaces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Antique Gold is always an accent — never a background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Onyx Black is body text only — never a background on large areas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Chalk White is the standard light background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Sterling Silver is for structural elements — borders, dividers — only</w:t>
      </w:r>
    </w:p>
    <w:p>
      <w:pPr>
        <w:spacing w:after="160"/>
      </w:pPr>
      <w:r>
        <w:t xml:space="preserve"/>
      </w:r>
    </w:p>
    <w:p>
      <w:pPr>
        <w:pBdr>
          <w:bottom w:val="single" w:color="D4AF37" w:sz="6" w:space="1"/>
        </w:pBdr>
        <w:spacing w:after="160" w:before="160"/>
      </w:pPr>
      <w:r>
        <w:t xml:space="preserv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000080"/>
          <w:sz w:val="34"/>
          <w:szCs w:val="34"/>
        </w:rPr>
        <w:t xml:space="preserve">05  Typography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VeriDrive uses a single typeface: Inter. Both primary and secondary typefaces are Inter — this keeps the brand visually consistent across all platforms.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80"/>
          <w:sz w:val="72"/>
          <w:szCs w:val="72"/>
        </w:rPr>
        <w:t xml:space="preserve">Inter</w:t>
      </w:r>
    </w:p>
    <w:p>
      <w:pPr>
        <w:spacing w:after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ABCDEFGHIJKLMNOPQRSTUVWXYZ</w:t>
      </w:r>
    </w:p>
    <w:p>
      <w:pPr>
        <w:spacing w:after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abcdefghijklmnopqrstuvwxyz</w:t>
      </w:r>
    </w:p>
    <w:p>
      <w:pPr>
        <w:spacing w:after="1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0123456789  !@#$%&amp;</w:t>
      </w:r>
    </w:p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400"/>
      </w:tblGrid>
      <w:tr>
        <w:tc>
          <w:tcPr>
            <w:tcW w:type="dxa" w:w="2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000080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</w:t>
            </w:r>
          </w:p>
        </w:tc>
        <w:tc>
          <w:tcPr>
            <w:tcW w:type="dxa" w:w="2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000080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2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000080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Size (screen)</w:t>
            </w:r>
          </w:p>
        </w:tc>
        <w:tc>
          <w:tcPr>
            <w:tcW w:type="dxa" w:w="2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000080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Page headlines</w:t>
            </w:r>
          </w:p>
        </w:tc>
        <w:tc>
          <w:tcPr>
            <w:tcW w:type="dxa" w:w="2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700 — Bold</w:t>
            </w:r>
          </w:p>
        </w:tc>
        <w:tc>
          <w:tcPr>
            <w:tcW w:type="dxa" w:w="2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32–44px</w:t>
            </w:r>
          </w:p>
        </w:tc>
        <w:tc>
          <w:tcPr>
            <w:tcW w:type="dxa" w:w="2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80"/>
                <w:sz w:val="19"/>
                <w:szCs w:val="19"/>
              </w:rPr>
              <w:t xml:space="preserve">Verified vehicles.</w:t>
            </w:r>
          </w:p>
        </w:tc>
      </w:tr>
      <w:tr>
        <w:tc>
          <w:tcPr>
            <w:tcW w:type="dxa" w:w="2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Section headings</w:t>
            </w:r>
          </w:p>
        </w:tc>
        <w:tc>
          <w:tcPr>
            <w:tcW w:type="dxa" w:w="2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700 — Bold</w:t>
            </w:r>
          </w:p>
        </w:tc>
        <w:tc>
          <w:tcPr>
            <w:tcW w:type="dxa" w:w="2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22–28px</w:t>
            </w:r>
          </w:p>
        </w:tc>
        <w:tc>
          <w:tcPr>
            <w:tcW w:type="dxa" w:w="2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80"/>
                <w:sz w:val="19"/>
                <w:szCs w:val="19"/>
              </w:rPr>
              <w:t xml:space="preserve">How It Works</w:t>
            </w:r>
          </w:p>
        </w:tc>
      </w:tr>
      <w:tr>
        <w:tc>
          <w:tcPr>
            <w:tcW w:type="dxa" w:w="2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Labels / badges</w:t>
            </w:r>
          </w:p>
        </w:tc>
        <w:tc>
          <w:tcPr>
            <w:tcW w:type="dxa" w:w="2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600 — SemiBold</w:t>
            </w:r>
          </w:p>
        </w:tc>
        <w:tc>
          <w:tcPr>
            <w:tcW w:type="dxa" w:w="2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11–13px</w:t>
            </w:r>
          </w:p>
        </w:tc>
        <w:tc>
          <w:tcPr>
            <w:tcW w:type="dxa" w:w="2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80"/>
                <w:sz w:val="19"/>
                <w:szCs w:val="19"/>
              </w:rPr>
              <w:t xml:space="preserve">VERIFIED DEAL</w:t>
            </w:r>
          </w:p>
        </w:tc>
      </w:tr>
      <w:tr>
        <w:tc>
          <w:tcPr>
            <w:tcW w:type="dxa" w:w="2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Body text</w:t>
            </w:r>
          </w:p>
        </w:tc>
        <w:tc>
          <w:tcPr>
            <w:tcW w:type="dxa" w:w="2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400 — Regular</w:t>
            </w:r>
          </w:p>
        </w:tc>
        <w:tc>
          <w:tcPr>
            <w:tcW w:type="dxa" w:w="2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14–16px</w:t>
            </w:r>
          </w:p>
        </w:tc>
        <w:tc>
          <w:tcPr>
            <w:tcW w:type="dxa" w:w="2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 source. You drive.</w:t>
            </w:r>
          </w:p>
        </w:tc>
      </w:tr>
      <w:tr>
        <w:tc>
          <w:tcPr>
            <w:tcW w:type="dxa" w:w="2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Captions</w:t>
            </w:r>
          </w:p>
        </w:tc>
        <w:tc>
          <w:tcPr>
            <w:tcW w:type="dxa" w:w="2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300 — Light</w:t>
            </w:r>
          </w:p>
        </w:tc>
        <w:tc>
          <w:tcPr>
            <w:tcW w:type="dxa" w:w="2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11–12px</w:t>
            </w:r>
          </w:p>
        </w:tc>
        <w:tc>
          <w:tcPr>
            <w:tcW w:type="dxa" w:w="24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Last updated May 2026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4AF37"/>
          <w:spacing w:val="120"/>
          <w:sz w:val="17"/>
          <w:szCs w:val="17"/>
        </w:rPr>
        <w:t xml:space="preserve">DOWNLOAD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Inter is available free at fonts.google.com/specimen/Inter — all three founders should download and install all weights before creating any brand materials.</w:t>
      </w:r>
    </w:p>
    <w:p>
      <w:pPr>
        <w:spacing w:after="160"/>
      </w:pPr>
      <w:r>
        <w:t xml:space="preserve"/>
      </w:r>
    </w:p>
    <w:p>
      <w:pPr>
        <w:pBdr>
          <w:bottom w:val="single" w:color="D4AF37" w:sz="6" w:space="1"/>
        </w:pBdr>
        <w:spacing w:after="160" w:before="160"/>
      </w:pPr>
      <w:r>
        <w:t xml:space="preserv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000080"/>
          <w:sz w:val="34"/>
          <w:szCs w:val="34"/>
        </w:rPr>
        <w:t xml:space="preserve">06  Imagery Style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All VeriDrive imagery follows a documentary-style aesthetic — real, grounded, and authoritative. We do not use staged glamour shots, CGI vehicles, or stock-photo car salespeople. Everything we show should feel like it was captured in the real process of sourcing and verifying a vehicle.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4AF37"/>
          <w:spacing w:val="120"/>
          <w:sz w:val="17"/>
          <w:szCs w:val="17"/>
        </w:rPr>
        <w:t xml:space="preserve">USE THESE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Dark garage and automotive environments — cinematic, natural light preferred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Port and shipping container scenes — conveys the cross-border dimension authentically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Vehicle inspection documentation — Carfax reports, VIN stickers, title documents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Hands-on vehicle walk-throughs — engine bays, interiors, undercarriages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Real transaction moments — keys handed over, cars loaded onto transporters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4AF37"/>
          <w:spacing w:val="120"/>
          <w:sz w:val="17"/>
          <w:szCs w:val="17"/>
        </w:rPr>
        <w:t xml:space="preserve">AVOID THESE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Staged lifestyle shots — luxury backgrounds, aspirational poses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Vehicles VeriDrive has not personally handled or verified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Celebrity, brand, or franchise imagery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Stock photography of smiling salespeople or fake showroom scenes</w:t>
      </w:r>
    </w:p>
    <w:p>
      <w:pPr>
        <w:spacing w:after="160"/>
      </w:pPr>
      <w:r>
        <w:t xml:space="preserve"/>
      </w:r>
    </w:p>
    <w:p>
      <w:pPr>
        <w:pBdr>
          <w:bottom w:val="single" w:color="D4AF37" w:sz="6" w:space="1"/>
        </w:pBdr>
        <w:spacing w:after="160" w:before="160"/>
      </w:pPr>
      <w:r>
        <w:t xml:space="preserv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000080"/>
          <w:sz w:val="34"/>
          <w:szCs w:val="34"/>
        </w:rPr>
        <w:t xml:space="preserve">07  Brand Voice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Every piece of content VeriDrive publishes should pass this test: does it sound trustworthy, professional, transparent, and calm?</w:t>
      </w:r>
    </w:p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000080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VeriDrive Sounds Like</w:t>
            </w:r>
          </w:p>
        </w:tc>
        <w:tc>
          <w:tcPr>
            <w:tcW w:type="dxa" w:w="46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000080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VeriDrive Never Sounds Like</w:t>
            </w:r>
          </w:p>
        </w:tc>
      </w:tr>
      <w:tr>
        <w:tc>
          <w:tcPr>
            <w:tcW w:type="dxa" w:w="46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Calm confidence — we know what we're doing</w:t>
            </w:r>
          </w:p>
        </w:tc>
        <w:tc>
          <w:tcPr>
            <w:tcW w:type="dxa" w:w="46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E8E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Hype — 'best deals guaranteed!'</w:t>
            </w:r>
          </w:p>
        </w:tc>
      </w:tr>
      <w:tr>
        <w:tc>
          <w:tcPr>
            <w:tcW w:type="dxa" w:w="46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Transparent — 'here's exactly what this will cost'</w:t>
            </w:r>
          </w:p>
        </w:tc>
        <w:tc>
          <w:tcPr>
            <w:tcW w:type="dxa" w:w="46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E8E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Vague — 'we get you the best price'</w:t>
            </w:r>
          </w:p>
        </w:tc>
      </w:tr>
      <w:tr>
        <w:tc>
          <w:tcPr>
            <w:tcW w:type="dxa" w:w="46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Educational — explaining the process clearly</w:t>
            </w:r>
          </w:p>
        </w:tc>
        <w:tc>
          <w:tcPr>
            <w:tcW w:type="dxa" w:w="46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E8E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Salesy — pressure tactics, manufactured urgency</w:t>
            </w:r>
          </w:p>
        </w:tc>
      </w:tr>
      <w:tr>
        <w:tc>
          <w:tcPr>
            <w:tcW w:type="dxa" w:w="46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Grounded — real footage, real documents, real results</w:t>
            </w:r>
          </w:p>
        </w:tc>
        <w:tc>
          <w:tcPr>
            <w:tcW w:type="dxa" w:w="46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E8E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Hustle-coded — 'DM us NOW'</w:t>
            </w:r>
          </w:p>
        </w:tc>
      </w:tr>
      <w:tr>
        <w:tc>
          <w:tcPr>
            <w:tcW w:type="dxa" w:w="46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Direct — no filler, no hype, no padding</w:t>
            </w:r>
          </w:p>
        </w:tc>
        <w:tc>
          <w:tcPr>
            <w:tcW w:type="dxa" w:w="46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E8E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Fake wealth — luxury flexing or aspirational performance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D4AF37" w:sz="6" w:space="1"/>
        </w:pBdr>
        <w:spacing w:after="160" w:before="160"/>
      </w:pPr>
      <w:r>
        <w:t xml:space="preserv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000080"/>
          <w:sz w:val="34"/>
          <w:szCs w:val="34"/>
        </w:rPr>
        <w:t xml:space="preserve">08  Content Watermarking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Every piece of VeriDrive content — video, image, infographic, document — must carry a VeriDrive watermark from the very first post.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4AF37"/>
          <w:spacing w:val="120"/>
          <w:sz w:val="17"/>
          <w:szCs w:val="17"/>
        </w:rPr>
        <w:t xml:space="preserve">PLACEMENT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Bottom-right corner for videos and images. Bottom-centre for shared PDFs. Opacity: 85% — visible but not intrusive. Size: logo mark only (no full wordmark) at approximately 5% of the frame height.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Once content circulates in WhatsApp groups and gets reshared — which it will — every frame carries our name. Content without a watermark is free reach for no one. Content with one is compounding brand exposure.</w:t>
      </w:r>
    </w:p>
    <w:p>
      <w:pPr>
        <w:spacing w:after="160"/>
      </w:pPr>
      <w:r>
        <w:t xml:space="preserve"/>
      </w:r>
    </w:p>
    <w:p>
      <w:pPr>
        <w:pBdr>
          <w:bottom w:val="single" w:color="D4AF37" w:sz="6" w:space="1"/>
        </w:pBdr>
        <w:spacing w:after="160" w:before="160"/>
      </w:pPr>
      <w:r>
        <w:t xml:space="preserv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000080"/>
          <w:sz w:val="34"/>
          <w:szCs w:val="34"/>
        </w:rPr>
        <w:t xml:space="preserve">09  Brand Assets Checklist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All assets stored in a shared folder: 'VeriDrive — Brand Assets' on Google Drive, accessible to all three founders. Never keep brand assets only on one person's device.</w:t>
      </w:r>
    </w:p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4500"/>
      </w:tblGrid>
      <w:tr>
        <w:tc>
          <w:tcPr>
            <w:tcW w:type="dxa" w:w="5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000080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000080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Asset</w:t>
            </w:r>
          </w:p>
        </w:tc>
        <w:tc>
          <w:tcPr>
            <w:tcW w:type="dxa" w:w="45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000080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 / Status</w:t>
            </w:r>
          </w:p>
        </w:tc>
      </w:tr>
      <w:tr>
        <w:tc>
          <w:tcPr>
            <w:tcW w:type="dxa" w:w="5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38"/>
                <w:sz w:val="19"/>
                <w:szCs w:val="19"/>
              </w:rPr>
              <w:t xml:space="preserve">✓</w:t>
            </w:r>
          </w:p>
        </w:tc>
        <w:tc>
          <w:tcPr>
            <w:tcW w:type="dxa" w:w="4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VeriDrive_Logo.png (512×512, Maritime Blue background)</w:t>
            </w:r>
          </w:p>
        </w:tc>
        <w:tc>
          <w:tcPr>
            <w:tcW w:type="dxa" w:w="45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5C38"/>
                <w:sz w:val="19"/>
                <w:szCs w:val="19"/>
              </w:rPr>
              <w:t xml:space="preserve">Created — attached to this package</w:t>
            </w:r>
          </w:p>
        </w:tc>
      </w:tr>
      <w:tr>
        <w:tc>
          <w:tcPr>
            <w:tcW w:type="dxa" w:w="5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38"/>
                <w:sz w:val="19"/>
                <w:szCs w:val="19"/>
              </w:rPr>
              <w:t xml:space="preserve">✓</w:t>
            </w:r>
          </w:p>
        </w:tc>
        <w:tc>
          <w:tcPr>
            <w:tcW w:type="dxa" w:w="4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VeriDrive_Logo.svg (vector format, scalable)</w:t>
            </w:r>
          </w:p>
        </w:tc>
        <w:tc>
          <w:tcPr>
            <w:tcW w:type="dxa" w:w="45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5C38"/>
                <w:sz w:val="19"/>
                <w:szCs w:val="19"/>
              </w:rPr>
              <w:t xml:space="preserve">Created — attached to this package</w:t>
            </w:r>
          </w:p>
        </w:tc>
      </w:tr>
      <w:tr>
        <w:tc>
          <w:tcPr>
            <w:tcW w:type="dxa" w:w="5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38"/>
                <w:sz w:val="19"/>
                <w:szCs w:val="19"/>
              </w:rPr>
              <w:t xml:space="preserve">✓</w:t>
            </w:r>
          </w:p>
        </w:tc>
        <w:tc>
          <w:tcPr>
            <w:tcW w:type="dxa" w:w="4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VeriDrive_Logo_Transparent.png (512×512, clear background)</w:t>
            </w:r>
          </w:p>
        </w:tc>
        <w:tc>
          <w:tcPr>
            <w:tcW w:type="dxa" w:w="45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5C38"/>
                <w:sz w:val="19"/>
                <w:szCs w:val="19"/>
              </w:rPr>
              <w:t xml:space="preserve">Created — attached to this package</w:t>
            </w:r>
          </w:p>
        </w:tc>
      </w:tr>
      <w:tr>
        <w:tc>
          <w:tcPr>
            <w:tcW w:type="dxa" w:w="5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4AF37"/>
                <w:sz w:val="19"/>
                <w:szCs w:val="19"/>
              </w:rPr>
              <w:t xml:space="preserve">○</w:t>
            </w:r>
          </w:p>
        </w:tc>
        <w:tc>
          <w:tcPr>
            <w:tcW w:type="dxa" w:w="4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Logo — white/reversed version for dark photo overlays</w:t>
            </w:r>
          </w:p>
        </w:tc>
        <w:tc>
          <w:tcPr>
            <w:tcW w:type="dxa" w:w="45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F3 to create, Week 1</w:t>
            </w:r>
          </w:p>
        </w:tc>
      </w:tr>
      <w:tr>
        <w:tc>
          <w:tcPr>
            <w:tcW w:type="dxa" w:w="5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4AF37"/>
                <w:sz w:val="19"/>
                <w:szCs w:val="19"/>
              </w:rPr>
              <w:t xml:space="preserve">○</w:t>
            </w:r>
          </w:p>
        </w:tc>
        <w:tc>
          <w:tcPr>
            <w:tcW w:type="dxa" w:w="4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Logo — full colour on white background</w:t>
            </w:r>
          </w:p>
        </w:tc>
        <w:tc>
          <w:tcPr>
            <w:tcW w:type="dxa" w:w="45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F3 to create, Week 1</w:t>
            </w:r>
          </w:p>
        </w:tc>
      </w:tr>
      <w:tr>
        <w:tc>
          <w:tcPr>
            <w:tcW w:type="dxa" w:w="5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4AF37"/>
                <w:sz w:val="19"/>
                <w:szCs w:val="19"/>
              </w:rPr>
              <w:t xml:space="preserve">○</w:t>
            </w:r>
          </w:p>
        </w:tc>
        <w:tc>
          <w:tcPr>
            <w:tcW w:type="dxa" w:w="4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Social media profile image (400×400)</w:t>
            </w:r>
          </w:p>
        </w:tc>
        <w:tc>
          <w:tcPr>
            <w:tcW w:type="dxa" w:w="45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F3 to create, Week 1</w:t>
            </w:r>
          </w:p>
        </w:tc>
      </w:tr>
      <w:tr>
        <w:tc>
          <w:tcPr>
            <w:tcW w:type="dxa" w:w="5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4AF37"/>
                <w:sz w:val="19"/>
                <w:szCs w:val="19"/>
              </w:rPr>
              <w:t xml:space="preserve">○</w:t>
            </w:r>
          </w:p>
        </w:tc>
        <w:tc>
          <w:tcPr>
            <w:tcW w:type="dxa" w:w="4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Inter font — all weights installed</w:t>
            </w:r>
          </w:p>
        </w:tc>
        <w:tc>
          <w:tcPr>
            <w:tcW w:type="dxa" w:w="45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Each founder, Day 1</w:t>
            </w:r>
          </w:p>
        </w:tc>
      </w:tr>
      <w:tr>
        <w:tc>
          <w:tcPr>
            <w:tcW w:type="dxa" w:w="5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4AF37"/>
                <w:sz w:val="19"/>
                <w:szCs w:val="19"/>
              </w:rPr>
              <w:t xml:space="preserve">○</w:t>
            </w:r>
          </w:p>
        </w:tc>
        <w:tc>
          <w:tcPr>
            <w:tcW w:type="dxa" w:w="4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Notion brand reference page (colours, fonts, tagline)</w:t>
            </w:r>
          </w:p>
        </w:tc>
        <w:tc>
          <w:tcPr>
            <w:tcW w:type="dxa" w:w="45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F3 to create, Week 1</w:t>
            </w:r>
          </w:p>
        </w:tc>
      </w:tr>
      <w:tr>
        <w:tc>
          <w:tcPr>
            <w:tcW w:type="dxa" w:w="5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E8E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A1E1E"/>
                <w:sz w:val="19"/>
                <w:szCs w:val="19"/>
              </w:rPr>
              <w:t xml:space="preserve">○</w:t>
            </w:r>
          </w:p>
        </w:tc>
        <w:tc>
          <w:tcPr>
            <w:tcW w:type="dxa" w:w="4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Pomelli brand book — downloaded from Google Labs</w:t>
            </w:r>
          </w:p>
        </w:tc>
        <w:tc>
          <w:tcPr>
            <w:tcW w:type="dxa" w:w="45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F3 to download — urgent</w:t>
            </w:r>
          </w:p>
        </w:tc>
      </w:tr>
      <w:tr>
        <w:tc>
          <w:tcPr>
            <w:tcW w:type="dxa" w:w="5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C0C0"/>
                <w:sz w:val="19"/>
                <w:szCs w:val="19"/>
              </w:rPr>
              <w:t xml:space="preserve">○</w:t>
            </w:r>
          </w:p>
        </w:tc>
        <w:tc>
          <w:tcPr>
            <w:tcW w:type="dxa" w:w="4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Social media banner (YouTube / LinkedIn)</w:t>
            </w:r>
          </w:p>
        </w:tc>
        <w:tc>
          <w:tcPr>
            <w:tcW w:type="dxa" w:w="45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F3, Month 2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D4AF37" w:sz="6" w:space="1"/>
        </w:pBdr>
        <w:spacing w:after="160" w:before="160"/>
      </w:pPr>
      <w:r>
        <w:t xml:space="preserve"/>
      </w:r>
    </w:p>
    <w:p>
      <w:pPr>
        <w:spacing w:after="80" w:before="180"/>
        <w:jc w:val="center"/>
      </w:pPr>
      <w:r>
        <w:rPr>
          <w:rFonts w:ascii="Arial" w:cs="Arial" w:eastAsia="Arial" w:hAnsi="Arial"/>
          <w:b/>
          <w:bCs/>
          <w:color w:val="000080"/>
          <w:spacing w:val="200"/>
          <w:sz w:val="24"/>
          <w:szCs w:val="24"/>
        </w:rPr>
        <w:t xml:space="preserve">VERIDRIVE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Brand Guide — Version 1.0  ·  May 2026</w:t>
      </w:r>
    </w:p>
    <w:p>
      <w:pPr>
        <w:spacing w:after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Confidential — For internal founder use only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da7c5fe588f88daea5daaf620a4bc1b2faad677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2026-05-30T00:11:23.388Z</dcterms:created>
  <dcterms:modified xsi:type="dcterms:W3CDTF">2026-05-30T00:11:23.388Z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