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3967E2-E565-41C2-914A-D20CC7CF5C97}"/>
</file>

<file path=customXml/itemProps2.xml><?xml version="1.0" encoding="utf-8"?>
<ds:datastoreItem xmlns:ds="http://schemas.openxmlformats.org/officeDocument/2006/customXml" ds:itemID="{A9F7A79B-A381-4FC0-AFB3-F86D87025D98}"/>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