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center"/>
        <w:rPr>
          <w:rFonts w:ascii="Source Sans Pro" w:hAnsi="Source Sans Pro" w:eastAsia="BAAAAA+ThorndaleAMT" w:cs="BAAAAA+ThorndaleAMT"/>
          <w:sz w:val="52"/>
          <w:szCs w:val="52"/>
          <w:u w:val="none"/>
        </w:rPr>
      </w:pPr>
      <w:r>
        <w:rPr>
          <w:rFonts w:eastAsia="BAAAAA+ThorndaleAMT" w:cs="BAAAAA+ThorndaleAMT" w:ascii="Source Sans Pro" w:hAnsi="Source Sans Pro"/>
          <w:sz w:val="52"/>
          <w:szCs w:val="52"/>
          <w:u w:val="none"/>
        </w:rPr>
        <w:t xml:space="preserve">Pattern and String Substitution </w:t>
      </w:r>
      <w:r>
        <w:rPr>
          <w:rFonts w:eastAsia="BAAAAA+ThorndaleAMT" w:cs="BAAAAA+ThorndaleAMT" w:ascii="Source Sans Pro" w:hAnsi="Source Sans Pro"/>
          <w:sz w:val="52"/>
          <w:szCs w:val="52"/>
          <w:u w:val="none"/>
        </w:rPr>
        <w:t>Cheatsheet</w:t>
      </w:r>
    </w:p>
    <w:p>
      <w:pPr>
        <w:pStyle w:val="Normal"/>
        <w:autoSpaceDE w:val="false"/>
        <w:bidi w:val="0"/>
        <w:jc w:val="center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10440" w:type="dxa"/>
        <w:jc w:val="left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4"/>
        <w:gridCol w:w="7416"/>
      </w:tblGrid>
      <w:tr>
        <w:trPr/>
        <w:tc>
          <w:tcPr>
            <w:tcW w:w="10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String Operations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${VAR#pattern}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Remove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from beginning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to the FIRST occurrence of the match 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${VAR##pattern}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Remove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from beginning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 to the LAST occurrence of the match 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${VAR%pattern}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Remove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from the EOL to the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 FIRST occurrence of the match 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${VAR%%pattern}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Remove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from the EOL to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the LAST occurrence of the match 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${VAR/pattern/string}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Replace matching pattern with string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${VAR/#pattern/string}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Replace matching pattern at the BEGINNING of the line with string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${VAR/%pattern/string}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Replace matching pattern at the END of the line with string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${VAR//pattern/string}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Replace ALL matching occurrences of pattern with string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${VAR:offset:length}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Returns the substring of $VAR starting at offset to the length of characters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${VAR: -length}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Returns the substring of $VAR starting at offset from the END</w:t>
            </w:r>
          </w:p>
        </w:tc>
      </w:tr>
      <w:tr>
        <w:trPr/>
        <w:tc>
          <w:tcPr>
            <w:tcW w:w="104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Variable Manipulations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${#VAR}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Get length of variable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${!pattern*}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Indirect reference -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m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atches all variables names that match the pattern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${VAR^}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Transform first character of string to uppercase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${VAR^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^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Transform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all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character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s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of string to uppercase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${VAR,}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Transform first character of string to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lower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case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${VAR,,}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Transform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all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character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s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of string to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lower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case</w:t>
            </w:r>
          </w:p>
        </w:tc>
      </w:tr>
      <w:tr>
        <w:trPr/>
        <w:tc>
          <w:tcPr>
            <w:tcW w:w="104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Expansions to handle empty variables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${VAR:-$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VAR2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If $VAR isn't null return it's value, else return $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VAR2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${VAR:=$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VAR2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If $VAR isn't null return it's value, else assign it to $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VAR2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and return it's value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${VAR:?$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VAR2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If $VAR isn't null return it's value,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otherwise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print VAR: $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VAR2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and abort 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${VAR:+$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VAR2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}</w:t>
            </w:r>
          </w:p>
        </w:tc>
        <w:tc>
          <w:tcPr>
            <w:tcW w:w="7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If $VAR isn't null, return $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VAR2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otherwise return null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10440" w:type="dxa"/>
        <w:jc w:val="left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7378"/>
      </w:tblGrid>
      <w:tr>
        <w:trPr/>
        <w:tc>
          <w:tcPr>
            <w:tcW w:w="10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String Operations Examples</w:t>
            </w:r>
          </w:p>
        </w:tc>
      </w:tr>
      <w:tr>
        <w:trPr/>
        <w:tc>
          <w:tcPr>
            <w:tcW w:w="104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VAR="The quick brown 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fox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 jumped over the fox"</w:t>
            </w:r>
          </w:p>
        </w:tc>
      </w:tr>
      <w:tr>
        <w:trPr/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echo 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${VAR#*fox}</w:t>
            </w:r>
          </w:p>
        </w:tc>
        <w:tc>
          <w:tcPr>
            <w:tcW w:w="7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jumped over the fox</w:t>
            </w:r>
          </w:p>
        </w:tc>
      </w:tr>
      <w:tr>
        <w:trPr/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echo 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${VAR%fox*}</w:t>
            </w:r>
          </w:p>
        </w:tc>
        <w:tc>
          <w:tcPr>
            <w:tcW w:w="7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The quick brown fox jumped over the</w:t>
            </w:r>
          </w:p>
        </w:tc>
      </w:tr>
      <w:tr>
        <w:trPr/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echo 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${VAR%%fox*}</w:t>
            </w:r>
          </w:p>
        </w:tc>
        <w:tc>
          <w:tcPr>
            <w:tcW w:w="7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The quick brown</w:t>
            </w:r>
          </w:p>
        </w:tc>
      </w:tr>
      <w:tr>
        <w:trPr/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echo 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${VAR/fox/dog}</w:t>
            </w:r>
          </w:p>
        </w:tc>
        <w:tc>
          <w:tcPr>
            <w:tcW w:w="7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The quick brown dog jumped over the fox</w:t>
            </w:r>
          </w:p>
        </w:tc>
      </w:tr>
      <w:tr>
        <w:trPr/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echo 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${VAR//fox/dog}</w:t>
            </w:r>
          </w:p>
        </w:tc>
        <w:tc>
          <w:tcPr>
            <w:tcW w:w="7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The quick brown dog jumped over the dog</w:t>
            </w:r>
          </w:p>
        </w:tc>
      </w:tr>
      <w:tr>
        <w:trPr/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echo 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${VAR/#The/A}</w:t>
            </w:r>
          </w:p>
        </w:tc>
        <w:tc>
          <w:tcPr>
            <w:tcW w:w="7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A quick brown fox jumped over the fox</w:t>
            </w:r>
          </w:p>
        </w:tc>
      </w:tr>
      <w:tr>
        <w:trPr/>
        <w:tc>
          <w:tcPr>
            <w:tcW w:w="30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${VAR/%fox/dog}</w:t>
            </w:r>
          </w:p>
        </w:tc>
        <w:tc>
          <w:tcPr>
            <w:tcW w:w="7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The quick brown fox jumped over the dog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sectPr>
      <w:type w:val="nextPage"/>
      <w:pgSz w:w="12240" w:h="15840"/>
      <w:pgMar w:left="1138" w:right="1138" w:gutter="0" w:header="0" w:top="1166" w:footer="0" w:bottom="1166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Sans" w:cs="Tahoma"/>
        <w:kern w:val="2"/>
        <w:sz w:val="24"/>
        <w:szCs w:val="24"/>
        <w:lang w:val="en-CA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DejaVuSans" w:cs="Tahoma"/>
      <w:color w:val="auto"/>
      <w:kern w:val="2"/>
      <w:sz w:val="24"/>
      <w:szCs w:val="24"/>
      <w:lang w:val="en-CA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eastAsia="AR PL ShanHeiSun Uni" w:cs="Tahoma"/>
      <w:sz w:val="28"/>
      <w:szCs w:val="28"/>
    </w:rPr>
  </w:style>
  <w:style w:type="paragraph" w:styleId="TextBody">
    <w:name w:val="Body Text"/>
    <w:basedOn w:val="Normal"/>
    <w:pPr>
      <w:spacing w:before="0" w:after="0"/>
      <w:textAlignment w:val="center"/>
    </w:pPr>
    <w:rPr/>
  </w:style>
  <w:style w:type="paragraph" w:styleId="List">
    <w:name w:val="List"/>
    <w:basedOn w:val="TextBody"/>
    <w:pPr/>
    <w:rPr>
      <w:rFonts w:ascii="Times" w:hAnsi="Time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" w:hAnsi="Times" w:cs="Tahoma"/>
    </w:rPr>
  </w:style>
  <w:style w:type="paragraph" w:styleId="TableContents">
    <w:name w:val="Table Contents"/>
    <w:basedOn w:val="Normal"/>
    <w:qFormat/>
    <w:pPr>
      <w:keepLines w:val="false"/>
      <w:suppressLineNumbers/>
      <w:textAlignment w:val="baseline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LibreOffice/7.4.6.2$Linux_X86_64 LibreOffice_project/40$Build-2</Application>
  <AppVersion>15.0000</AppVersion>
  <Pages>2</Pages>
  <Words>297</Words>
  <Characters>1703</Characters>
  <CharactersWithSpaces>1945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2008-02-04T00:04:33Z</dcterms:created>
  <dc:creator>grant</dc:creator>
  <dc:description/>
  <dc:language>en-US</dc:language>
  <cp:lastModifiedBy/>
  <dcterms:modified xsi:type="dcterms:W3CDTF">2023-05-01T16:39:19Z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