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54B84583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B569BC">
        <w:rPr>
          <w:rFonts w:ascii="Adif Fago No Regular" w:hAnsi="Adif Fago No Regular"/>
          <w:sz w:val="28"/>
          <w:szCs w:val="28"/>
        </w:rPr>
        <w:t xml:space="preserve"> Obra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OBRAS DE REPARACIÓN EN LAS INSTALACIONES INTERIORES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DG de Negocio y Operaciones Comerciales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1​⁠‌2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TOTAL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26.029,89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5.466,28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31.496,17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sz w:val="20"/>
              </w:rPr>
              <w:t>26.029,89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  <w:t>El objeto de este contrato es la realización de las obras necesarias para impedir las filtraciones de agua por la cubierta que hace inhabitable la vivienda.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  <w:br/>
              <w:t>Se necesita la contratación de estas obras por ser indispensable para asegurar la habitabilidad  y estabilidad de los inmuebles.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  <w:br/>
              <w:t>La necesidad surge de las propias labores de gestión de esta Gerencia y cubre las necesidades de los inmuebles, no necesitándose por tanto más contratos semejantes en el mismo.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PARA  ELLO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Pago por actuacion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>Indicar si la presente licitación implica tratamiento por el adjudicatario de datos de carácter  personal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t>A los efectos previstos en el artículo 62 de la LCSP, se designa Responsable del contrato a la siguiente persona:</w:t>
              <w:br/>
              <w:t>PABLO MARTÍN FERNÁNDEZ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rPr>
                <w:sz w:val="20"/>
              </w:rPr>
              <w:t>DEPARTAMENTO DE ADMINISTRACIÓN DE LA GERENCIA DE PATRIMONIO Y URBANISMO CENTRO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NOMBRE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NIF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EMAIL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PERSONA DE CONTACTO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PAL ELECTRICIDAD , S.L.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B83066456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luisgallardo@palelectricidad.es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LUIS GALLARDO URDDALLO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GRUPO  TESEIN , S.L.U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B84385657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sara@grupotesein.com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Sara Palomar Latorre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FCC Industria INFRAESTRUCTURAS ENERGETICAS, S.A.U.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A28482024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JMCristobals@fcc.es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Juan Mª Cristóbal Sanz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MAHERCON AVILA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B05173901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mahercon.avila@gmail.com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Mónica Fernández Inglés</w:t>
            </w:r>
          </w:p>
        </w:tc>
      </w:tr>
    </w:tbl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  <w:t>El contrato de la obra es por importe de 26,029.89 euros, no superando por tanto el límite de 40.000 € establecido.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  <w:br/>
              <w:t>OBRAS DE REPARACIÓN EN LAS INSTALACIONES INTERIORES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PABLO MARTÍN FERNÁNDEZ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Cuadro Técnico de Mantenimiento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----------------------------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 --------------------------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MARÍA CRUZ NIETO TORTUERO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Gerente del Área de Patrimonio y Urbanismo Centro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37A15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569BC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