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Pr>
                <w:rFonts w:ascii="Adif Fago Co Regular" w:hAnsi="Adif Fago Co Regular"/>
                <w:sz w:val="18"/>
              </w:rPr>
              <w:t>ADJUDICATARIO: 1.212,00</w:t>
            </w:r>
          </w:p>
          <w:p w14:paraId="04D28A46" w14:textId="65DCC415"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rPr>
              <w:t>DNI: 1.212,00</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Pr>
                <w:rFonts w:ascii="Adif Fago Co Regular" w:hAnsi="Adif Fago Co Regular"/>
                <w:b/>
                <w:sz w:val="18"/>
              </w:rPr>
              <w:t>avutarda.: 232.232.323,00</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p w14:paraId="33F528E0" w14:textId="05E84B6B" w:rsidR="00B56F93" w:rsidRPr="00A24B2D" w:rsidRDefault="00A24B2D" w:rsidP="00FE0046">
            <w:pPr>
              <w:pStyle w:val="Ttulo3"/>
              <w:rPr>
                <w:rFonts w:ascii="Adif Fago Co Regular" w:hAnsi="Adif Fago Co Regular"/>
                <w:b w:val="0"/>
                <w:bCs/>
                <w:sz w:val="18"/>
                <w:szCs w:val="18"/>
              </w:rPr>
            </w:pPr>
            <w:r>
              <w:rPr>
                <w:rFonts w:ascii="Arial" w:hAnsi="Arial"/>
                <w:b w:val="0"/>
                <w:sz w:val="14"/>
              </w:rPr>
              <w:t>ANUALIDAD            TOTAL SIN IVA           IMPORTE IVA             TOTAL CON IVA</w:t>
              <w:br/>
              <w:t>2025</w:t>
              <w:tab/>
              <w:tab/>
              <w:t>96,67 €</w:t>
              <w:tab/>
              <w:tab/>
              <w:t>20,30 €</w:t>
              <w:tab/>
              <w:tab/>
              <w:t>116,97 €</w:t>
              <w:br/>
              <w:t>2025</w:t>
              <w:tab/>
              <w:tab/>
              <w:t>135,33 €</w:t>
              <w:tab/>
              <w:tab/>
              <w:t>28,42 €</w:t>
              <w:tab/>
              <w:tab/>
              <w:t>163,75 €</w:t>
              <w:br/>
              <w:t>TOTAL</w:t>
              <w:tab/>
              <w:tab/>
              <w:t>232,00 €</w:t>
              <w:tab/>
              <w:tab/>
              <w:t>48,72 €</w:t>
              <w:tab/>
              <w:tab/>
              <w:t>280,72 €</w:t>
            </w: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0B8C7FD" w:rsidR="00AD3297" w:rsidRPr="003A213B" w:rsidRDefault="00EF18EB" w:rsidP="00EF18EB">
            <w:pPr>
              <w:pStyle w:val="Ttulo3"/>
              <w:rPr>
                <w:rFonts w:ascii="Adif Fago Co Regular" w:hAnsi="Adif Fago Co Regular" w:cs="Arial"/>
                <w:b w:val="0"/>
                <w:sz w:val="18"/>
                <w:szCs w:val="18"/>
              </w:rPr>
            </w:pPr>
            <w:r>
              <w:rPr>
                <w:rFonts w:ascii="Adif Fago Co Regular" w:hAnsi="Adif Fago Co Regular"/>
                <w:sz w:val="18"/>
              </w:rPr>
              <w:t>FORMALIZACIÓN DIGITAL: LUGAR: qweq  FECHA: 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4696DF5" w:rsidR="001873A4" w:rsidRDefault="3507C7C4" w:rsidP="001873A4">
            <w:pPr>
              <w:spacing w:after="60"/>
              <w:ind w:left="138"/>
              <w:jc w:val="both"/>
              <w:rPr>
                <w:rFonts w:ascii="Adif Fago Co Regular" w:hAnsi="Adif Fago Co Regular"/>
                <w:sz w:val="18"/>
                <w:szCs w:val="18"/>
              </w:rPr>
            </w:pPr>
            <w:r>
              <w:rPr>
                <w:rFonts w:ascii="Adif Fago Co Regular" w:hAnsi="Adif Fago Co Regular"/>
                <w:b/>
                <w:sz w:val="18"/>
              </w:rPr>
              <w:t>Dª. asascon el cargo de Gerente de Área de Patrimonio y Urbanismo Centro, en nombre y representación de esta Entidad, a la que representa de conformidad con lo dispuesto en virtud de 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47E83F57" w:rsidR="003E2EF4" w:rsidRDefault="738920EE" w:rsidP="001611F8">
            <w:pPr>
              <w:pStyle w:val="Default"/>
              <w:ind w:left="153"/>
              <w:rPr>
                <w:rFonts w:ascii="Adif Fago Co Regular" w:hAnsi="Adif Fago Co Regular" w:cs="Arial"/>
                <w:sz w:val="18"/>
                <w:szCs w:val="18"/>
              </w:rPr>
            </w:pPr>
            <w:r>
              <w:rPr>
                <w:rFonts w:ascii="Adif Fago Co Regular" w:hAnsi="Adif Fago Co Regular"/>
                <w:b/>
                <w:sz w:val="18"/>
              </w:rPr>
              <w:t>D. asas con DNI nº: asas, en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15D282F7" w14:textId="70473F6C"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Base Imponible</w:t>
              <w:tab/>
              <w:t>23.232,00 €</w:t>
            </w:r>
          </w:p>
          <w:p w14:paraId="47F6F04F" w14:textId="4A929BDF"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IVA (21%)      4.878,72 €</w:t>
            </w:r>
          </w:p>
          <w:p w14:paraId="676DD17A" w14:textId="7251B9F4"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con IVA</w:t>
              <w:tab/>
              <w:t xml:space="preserve"> 28.110,72 €</w:t>
            </w:r>
          </w:p>
          <w:p w14:paraId="01A06E25" w14:textId="3A6BEECC" w:rsidR="00663162"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Valor estimado del contrato</w:t>
              <w:tab/>
              <w:t xml:space="preserve">       232,00 €</w:t>
            </w: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Director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Responsable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39982029" w:rsidR="00BB4722" w:rsidRPr="003A213B" w:rsidRDefault="379A715A" w:rsidP="00C10A6A">
            <w:pPr>
              <w:spacing w:after="60"/>
              <w:ind w:left="709" w:hanging="709"/>
              <w:contextualSpacing/>
              <w:jc w:val="both"/>
              <w:rPr>
                <w:rFonts w:ascii="Adif Fago Co Regular" w:hAnsi="Adif Fago Co Regular" w:cs="Arial"/>
                <w:sz w:val="18"/>
                <w:szCs w:val="18"/>
              </w:rPr>
            </w:pPr>
            <w:r>
              <w:rPr>
                <w:rFonts w:ascii="Adif Fago Co Regular" w:hAnsi="Adif Fago Co Regular"/>
                <w:b/>
                <w:sz w:val="18"/>
              </w:rPr>
              <w:t>CUARTA: El plazo de ejecución del contrato es de 1​⁠‌2 meses, contados a partir del Acta de Comprobación de Replanteo e Inicio.</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tbl>
      <w:tblPr>
        <w:tblW w:type="auto" w:w="0"/>
        <w:tblLook w:firstColumn="1" w:firstRow="1" w:lastColumn="0" w:lastRow="0" w:noHBand="0" w:noVBand="1" w:val="04A0"/>
      </w:tblPr>
      <w:tblGrid>
        <w:gridCol w:w="2466"/>
        <w:gridCol w:w="2466"/>
        <w:gridCol w:w="2466"/>
        <w:gridCol w:w="2466"/>
      </w:tblGrid>
      <w:tr>
        <w:tc>
          <w:tcPr>
            <w:tcW w:type="dxa" w:w="2466"/>
          </w:tcPr>
          <w:p>
            <w:r>
              <w:t>ANUALIDAD</w:t>
            </w:r>
          </w:p>
        </w:tc>
        <w:tc>
          <w:tcPr>
            <w:tcW w:type="dxa" w:w="2466"/>
          </w:tcPr>
          <w:p>
            <w:r>
              <w:t>TOTAL SIN IVA</w:t>
            </w:r>
          </w:p>
        </w:tc>
        <w:tc>
          <w:tcPr>
            <w:tcW w:type="dxa" w:w="2466"/>
          </w:tcPr>
          <w:p>
            <w:r>
              <w:t>IMPORTE IVA</w:t>
            </w:r>
          </w:p>
        </w:tc>
        <w:tc>
          <w:tcPr>
            <w:tcW w:type="dxa" w:w="2466"/>
          </w:tcPr>
          <w:p>
            <w:r>
              <w:t>TOTAL CON IVA</w:t>
            </w:r>
          </w:p>
        </w:tc>
      </w:tr>
      <w:tr>
        <w:tc>
          <w:tcPr>
            <w:tcW w:type="dxa" w:w="2466"/>
          </w:tcPr>
          <w:p>
            <w:r>
              <w:t>2025</w:t>
            </w:r>
          </w:p>
        </w:tc>
        <w:tc>
          <w:tcPr>
            <w:tcW w:type="dxa" w:w="2466"/>
          </w:tcPr>
          <w:p>
            <w:r>
              <w:t>96,67 €</w:t>
            </w:r>
          </w:p>
        </w:tc>
        <w:tc>
          <w:tcPr>
            <w:tcW w:type="dxa" w:w="2466"/>
          </w:tcPr>
          <w:p>
            <w:r>
              <w:t>20,30 €</w:t>
            </w:r>
          </w:p>
        </w:tc>
        <w:tc>
          <w:tcPr>
            <w:tcW w:type="dxa" w:w="2466"/>
          </w:tcPr>
          <w:p>
            <w:r>
              <w:t>116,97 €</w:t>
            </w:r>
          </w:p>
        </w:tc>
      </w:tr>
      <w:tr>
        <w:tc>
          <w:tcPr>
            <w:tcW w:type="dxa" w:w="2466"/>
          </w:tcPr>
          <w:p>
            <w:r>
              <w:t>2025</w:t>
            </w:r>
          </w:p>
        </w:tc>
        <w:tc>
          <w:tcPr>
            <w:tcW w:type="dxa" w:w="2466"/>
          </w:tcPr>
          <w:p>
            <w:r>
              <w:t>135,33 €</w:t>
            </w:r>
          </w:p>
        </w:tc>
        <w:tc>
          <w:tcPr>
            <w:tcW w:type="dxa" w:w="2466"/>
          </w:tcPr>
          <w:p>
            <w:r>
              <w:t>28,42 €</w:t>
            </w:r>
          </w:p>
        </w:tc>
        <w:tc>
          <w:tcPr>
            <w:tcW w:type="dxa" w:w="2466"/>
          </w:tcPr>
          <w:p>
            <w:r>
              <w:t>163,75 €</w:t>
            </w:r>
          </w:p>
        </w:tc>
      </w:tr>
      <w:tr>
        <w:tc>
          <w:tcPr>
            <w:tcW w:type="dxa" w:w="2466"/>
          </w:tcPr>
          <w:p>
            <w:r>
              <w:t>TOTAL</w:t>
            </w:r>
          </w:p>
        </w:tc>
        <w:tc>
          <w:tcPr>
            <w:tcW w:type="dxa" w:w="2466"/>
          </w:tcPr>
          <w:p>
            <w:r>
              <w:t>232,00 €</w:t>
            </w:r>
          </w:p>
        </w:tc>
        <w:tc>
          <w:tcPr>
            <w:tcW w:type="dxa" w:w="2466"/>
          </w:tcPr>
          <w:p>
            <w:r>
              <w:t>48,72 €</w:t>
            </w:r>
          </w:p>
        </w:tc>
        <w:tc>
          <w:tcPr>
            <w:tcW w:type="dxa" w:w="2466"/>
          </w:tcPr>
          <w:p>
            <w:r>
              <w:t>280,72 €</w:t>
            </w:r>
          </w:p>
        </w:tc>
      </w:tr>
    </w:tbl>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9DCA" w14:textId="77777777" w:rsidR="003D0870" w:rsidRDefault="003D0870">
      <w:r>
        <w:separator/>
      </w:r>
    </w:p>
  </w:endnote>
  <w:endnote w:type="continuationSeparator" w:id="0">
    <w:p w14:paraId="77E2368B" w14:textId="77777777" w:rsidR="003D0870" w:rsidRDefault="003D0870">
      <w:r>
        <w:continuationSeparator/>
      </w:r>
    </w:p>
  </w:endnote>
  <w:endnote w:type="continuationNotice" w:id="1">
    <w:p w14:paraId="65F44AE9" w14:textId="77777777" w:rsidR="003D0870" w:rsidRDefault="003D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1D7FA788" w:rsidR="00C10A6A" w:rsidRDefault="006012FD" w:rsidP="00C10A6A">
    <w:pPr>
      <w:pStyle w:val="Encabezado"/>
      <w:jc w:val="center"/>
      <w:rPr>
        <w:rFonts w:ascii="Adif Fago Co Regular" w:hAnsi="Adif Fago Co Regular" w:cs="Arial"/>
        <w:b/>
        <w:bCs/>
        <w:sz w:val="18"/>
        <w:szCs w:val="18"/>
      </w:rPr>
    </w:pPr>
    <w:r>
      <w:rPr>
        <w:rFonts w:ascii="Adif Fago Co Regular" w:hAnsi="Adif Fago Co Regular"/>
        <w:b/>
        <w:sz w:val="18"/>
      </w:rPr>
      <w:t xml:space="preserve"> avutardaExp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Pr>
        <w:rFonts w:ascii="Adif Fago Co Regular" w:hAnsi="Adif Fago Co Regular"/>
        <w:b/>
        <w:sz w:val="18"/>
      </w:rPr>
      <w:t xml:space="preserve">232.232.323,00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71E6" w14:textId="77777777" w:rsidR="003D0870" w:rsidRDefault="003D0870">
      <w:r>
        <w:separator/>
      </w:r>
    </w:p>
  </w:footnote>
  <w:footnote w:type="continuationSeparator" w:id="0">
    <w:p w14:paraId="390C855C" w14:textId="77777777" w:rsidR="003D0870" w:rsidRDefault="003D0870">
      <w:r>
        <w:continuationSeparator/>
      </w:r>
    </w:p>
  </w:footnote>
  <w:footnote w:type="continuationNotice" w:id="1">
    <w:p w14:paraId="2D2392B1" w14:textId="77777777" w:rsidR="003D0870" w:rsidRDefault="003D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ES_tradnl" w:vendorID="9" w:dllVersion="512" w:checkStyle="1"/>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068F4"/>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2ED9"/>
    <w:rsid w:val="00323C93"/>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1FD4"/>
    <w:rsid w:val="003A213B"/>
    <w:rsid w:val="003A7777"/>
    <w:rsid w:val="003B4179"/>
    <w:rsid w:val="003B7EFD"/>
    <w:rsid w:val="003D0870"/>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1EB9"/>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44FD6"/>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34D2"/>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B2D"/>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4D6C"/>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42F7"/>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665"/>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0CB"/>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F9EB4F9E-821A-4AD6-88DA-DAB4FCE194BD}">
  <ds:schemaRefs>
    <ds:schemaRef ds:uri="http://schemas.microsoft.com/office/2006/metadata/properties"/>
    <ds:schemaRef ds:uri="http://schemas.microsoft.com/office/infopath/2007/PartnerControls"/>
    <ds:schemaRef ds:uri="638b3e88-738f-4712-9115-522c33e69d02"/>
    <ds:schemaRef ds:uri="0e0ad4c8-ce42-47bd-8509-f35539a79ab4"/>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2</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168</cp:revision>
  <cp:lastPrinted>2025-02-28T14:33:00Z</cp:lastPrinted>
  <dcterms:created xsi:type="dcterms:W3CDTF">2021-01-18T21:28:00Z</dcterms:created>
  <dcterms:modified xsi:type="dcterms:W3CDTF">2025-09-04T13:01:00Z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