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Aptos" w:hAnsi="Aptos"/>
          <w:color w:val="244C7A"/>
          <w:sz w:val="40"/>
        </w:rPr>
        <w:t>Permission, Persona, and Navigation Model</w:t>
      </w:r>
    </w:p>
    <w:p>
      <w:pPr>
        <w:spacing w:after="120" w:line="259" w:lineRule="auto"/>
      </w:pPr>
      <w:r>
        <w:rPr>
          <w:rFonts w:ascii="Aptos" w:hAnsi="Aptos"/>
          <w:color w:val="1F2937"/>
          <w:sz w:val="20"/>
        </w:rPr>
        <w:t>Meeting preread for aligning how LFX One decides where users can go, what they see, and what they can do.</w:t>
      </w:r>
    </w:p>
    <w:p>
      <w:pPr>
        <w:spacing w:after="120" w:line="259" w:lineRule="auto"/>
      </w:pPr>
      <w:r>
        <w:rPr>
          <w:rFonts w:ascii="Aptos" w:hAnsi="Aptos"/>
          <w:color w:val="1F2937"/>
          <w:sz w:val="20"/>
        </w:rPr>
        <w:t>Tracking epic: LFXV2-1654 - https://linuxfoundation.atlassian.net/browse/LFXV2-1654</w:t>
      </w:r>
    </w:p>
    <w:p>
      <w:pPr>
        <w:pStyle w:val="Heading1"/>
      </w:pPr>
      <w:r>
        <w:t>How to Read This</w:t>
      </w:r>
    </w:p>
    <w:p>
      <w:pPr>
        <w:spacing w:after="120" w:line="259" w:lineRule="auto"/>
      </w:pPr>
      <w:r>
        <w:rPr>
          <w:rFonts w:ascii="Aptos" w:hAnsi="Aptos"/>
          <w:color w:val="1F2937"/>
          <w:sz w:val="20"/>
        </w:rPr>
        <w:t>This document is meant to drive one team conversation:</w:t>
      </w:r>
    </w:p>
    <w:p>
      <w:pPr>
        <w:spacing w:after="120" w:line="259" w:lineRule="auto"/>
      </w:pPr>
      <w:r>
        <w:rPr>
          <w:rFonts w:ascii="Aptos" w:hAnsi="Aptos"/>
          <w:color w:val="1F2937"/>
          <w:sz w:val="20"/>
        </w:rPr>
        <w:t>1. Agree on the product/security contract.</w:t>
      </w:r>
    </w:p>
    <w:p>
      <w:pPr>
        <w:spacing w:after="120" w:line="259" w:lineRule="auto"/>
      </w:pPr>
      <w:r>
        <w:rPr>
          <w:rFonts w:ascii="Aptos" w:hAnsi="Aptos"/>
          <w:color w:val="1F2937"/>
          <w:sz w:val="20"/>
        </w:rPr>
        <w:t>2. Confirm where the current code already follows that contract.</w:t>
      </w:r>
    </w:p>
    <w:p>
      <w:pPr>
        <w:spacing w:after="120" w:line="259" w:lineRule="auto"/>
      </w:pPr>
      <w:r>
        <w:rPr>
          <w:rFonts w:ascii="Aptos" w:hAnsi="Aptos"/>
          <w:color w:val="1F2937"/>
          <w:sz w:val="20"/>
        </w:rPr>
        <w:t>3. Decide what work belongs under the epic.</w:t>
      </w:r>
    </w:p>
    <w:p>
      <w:pPr>
        <w:spacing w:after="120" w:line="259" w:lineRule="auto"/>
      </w:pPr>
      <w:r>
        <w:rPr>
          <w:rFonts w:ascii="Aptos" w:hAnsi="Aptos"/>
          <w:color w:val="1F2937"/>
          <w:sz w:val="20"/>
        </w:rPr>
        <w:t>4. Sequence the remaining implementation work by risk and priority.</w:t>
      </w:r>
    </w:p>
    <w:p>
      <w:pPr>
        <w:pStyle w:val="Heading1"/>
      </w:pPr>
      <w:r>
        <w:t>Purpose</w:t>
      </w:r>
    </w:p>
    <w:p>
      <w:pPr>
        <w:spacing w:after="120" w:line="259" w:lineRule="auto"/>
      </w:pPr>
      <w:r>
        <w:rPr>
          <w:rFonts w:ascii="Aptos" w:hAnsi="Aptos"/>
          <w:color w:val="1F2937"/>
          <w:sz w:val="20"/>
        </w:rPr>
        <w:t>This preread proposes a clear separation between access, experience, and authority. The goal is to make the product easier to reason about and to keep persona-driven UX from accidentally becoming authorization logic.</w:t>
      </w:r>
    </w:p>
    <w:p>
      <w:pPr>
        <w:spacing w:after="120" w:line="259" w:lineRule="auto"/>
      </w:pPr>
      <w:r>
        <w:rPr>
          <w:rFonts w:ascii="Aptos" w:hAnsi="Aptos"/>
          <w:color w:val="1F2937"/>
          <w:sz w:val="20"/>
        </w:rPr>
        <w:t>The simplest way to state the model:</w:t>
      </w:r>
    </w:p>
    <w:p>
      <w:pPr>
        <w:spacing w:before="40" w:after="160"/>
        <w:ind w:left="259"/>
      </w:pPr>
      <w:r>
        <w:rPr>
          <w:rFonts w:ascii="Aptos Mono" w:hAnsi="Aptos Mono"/>
          <w:color w:val="17324D"/>
          <w:sz w:val="18"/>
        </w:rPr>
        <w:t>View permission decides where the user can go.</w:t>
        <w:br/>
        <w:t>Persona/role decides what the user sees there.</w:t>
        <w:br/>
        <w:t>Manage/write permission decides what the user can do there.</w:t>
      </w:r>
    </w:p>
    <w:p>
      <w:pPr>
        <w:pStyle w:val="Heading1"/>
      </w:pPr>
      <w:r>
        <w:t>Core Contract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B7C6D8"/>
          <w:left w:val="single" w:sz="6" w:space="0" w:color="B7C6D8"/>
          <w:bottom w:val="single" w:sz="6" w:space="0" w:color="B7C6D8"/>
          <w:right w:val="single" w:sz="6" w:space="0" w:color="B7C6D8"/>
          <w:insideH w:val="single" w:sz="6" w:space="0" w:color="B7C6D8"/>
          <w:insideV w:val="single" w:sz="6" w:space="0" w:color="B7C6D8"/>
        </w:tblBorders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2232"/>
            <w:shd w:fill="D9E7F5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17324D"/>
                <w:sz w:val="16"/>
              </w:rPr>
              <w:t>Decision</w:t>
            </w:r>
          </w:p>
        </w:tc>
        <w:tc>
          <w:tcPr>
            <w:tcW w:type="dxa" w:w="3024"/>
            <w:shd w:fill="D9E7F5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17324D"/>
                <w:sz w:val="16"/>
              </w:rPr>
              <w:t>Source of Truth</w:t>
            </w:r>
          </w:p>
        </w:tc>
        <w:tc>
          <w:tcPr>
            <w:tcW w:type="dxa" w:w="4968"/>
            <w:shd w:fill="D9E7F5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17324D"/>
                <w:sz w:val="16"/>
              </w:rPr>
              <w:t>Meaning</w:t>
            </w:r>
          </w:p>
        </w:tc>
      </w:tr>
      <w:tr>
        <w:tc>
          <w:tcPr>
            <w:tcW w:type="dxa" w:w="2232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Where can I go?</w:t>
            </w:r>
          </w:p>
        </w:tc>
        <w:tc>
          <w:tcPr>
            <w:tcW w:type="dxa" w:w="3024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View permission</w:t>
            </w:r>
          </w:p>
        </w:tc>
        <w:tc>
          <w:tcPr>
            <w:tcW w:type="dxa" w:w="4968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Foundation/Project selector eligibility.</w:t>
            </w:r>
          </w:p>
        </w:tc>
      </w:tr>
      <w:tr>
        <w:tc>
          <w:tcPr>
            <w:tcW w:type="dxa" w:w="2232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What do I see there?</w:t>
            </w:r>
          </w:p>
        </w:tc>
        <w:tc>
          <w:tcPr>
            <w:tcW w:type="dxa" w:w="3024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Persona / role</w:t>
            </w:r>
          </w:p>
        </w:tc>
        <w:tc>
          <w:tcPr>
            <w:tcW w:type="dxa" w:w="4968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Sidebar links, page sections, dashboard variants, content shape.</w:t>
            </w:r>
          </w:p>
        </w:tc>
      </w:tr>
      <w:tr>
        <w:tc>
          <w:tcPr>
            <w:tcW w:type="dxa" w:w="2232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What can I do?</w:t>
            </w:r>
          </w:p>
        </w:tc>
        <w:tc>
          <w:tcPr>
            <w:tcW w:type="dxa" w:w="3024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Manage / write permission</w:t>
            </w:r>
          </w:p>
        </w:tc>
        <w:tc>
          <w:tcPr>
            <w:tcW w:type="dxa" w:w="4968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Create, edit, delete, configure, invite, assign, administer.</w:t>
            </w:r>
          </w:p>
        </w:tc>
      </w:tr>
    </w:tbl>
    <w:p/>
    <w:p>
      <w:pPr>
        <w:pStyle w:val="Heading1"/>
      </w:pPr>
      <w:r>
        <w:t>Decision Boundaries</w:t>
      </w:r>
    </w:p>
    <w:p>
      <w:pPr>
        <w:pStyle w:val="Heading2"/>
      </w:pPr>
      <w:r>
        <w:t>1. Context Selector: Where Can I Go?</w:t>
      </w:r>
    </w:p>
    <w:p>
      <w:pPr>
        <w:pStyle w:val="ListBullet"/>
        <w:spacing w:after="120" w:line="259" w:lineRule="auto"/>
      </w:pPr>
      <w:r>
        <w:rPr>
          <w:rFonts w:ascii="Aptos" w:hAnsi="Aptos"/>
          <w:color w:val="1F2937"/>
          <w:sz w:val="20"/>
        </w:rPr>
        <w:t>Foundation and Project selector eligibility should be based on view permission.</w:t>
      </w:r>
    </w:p>
    <w:p>
      <w:pPr>
        <w:pStyle w:val="ListBullet"/>
        <w:spacing w:after="120" w:line="259" w:lineRule="auto"/>
      </w:pPr>
      <w:r>
        <w:rPr>
          <w:rFonts w:ascii="Aptos" w:hAnsi="Aptos"/>
          <w:color w:val="1F2937"/>
          <w:sz w:val="20"/>
        </w:rPr>
        <w:t>If a context appears in the selector, the user should be allowed to enter that context.</w:t>
      </w:r>
    </w:p>
    <w:p>
      <w:pPr>
        <w:pStyle w:val="ListBullet"/>
        <w:spacing w:after="120" w:line="259" w:lineRule="auto"/>
      </w:pPr>
      <w:r>
        <w:rPr>
          <w:rFonts w:ascii="Aptos" w:hAnsi="Aptos"/>
          <w:color w:val="1F2937"/>
          <w:sz w:val="20"/>
        </w:rPr>
        <w:t>Persona may narrow or prioritize the experience, but it should not be the authority for selector eligibility.</w:t>
      </w:r>
    </w:p>
    <w:p>
      <w:pPr>
        <w:pStyle w:val="Heading2"/>
      </w:pPr>
      <w:r>
        <w:t>2. Sidebar and Page Content: What Do I See There?</w:t>
      </w:r>
    </w:p>
    <w:p>
      <w:pPr>
        <w:pStyle w:val="ListBullet"/>
        <w:spacing w:after="120" w:line="259" w:lineRule="auto"/>
      </w:pPr>
      <w:r>
        <w:rPr>
          <w:rFonts w:ascii="Aptos" w:hAnsi="Aptos"/>
          <w:color w:val="1F2937"/>
          <w:sz w:val="20"/>
        </w:rPr>
        <w:t>Once inside a view-permitted context, persona/role should shape navigation links, page sections, dashboards, tabs, cards, metrics, and content variants.</w:t>
      </w:r>
    </w:p>
    <w:p>
      <w:pPr>
        <w:pStyle w:val="ListBullet"/>
        <w:spacing w:after="120" w:line="259" w:lineRule="auto"/>
      </w:pPr>
      <w:r>
        <w:rPr>
          <w:rFonts w:ascii="Aptos" w:hAnsi="Aptos"/>
          <w:color w:val="1F2937"/>
          <w:sz w:val="20"/>
        </w:rPr>
        <w:t>This is where Executive Director, Board Member, Maintainer, Contributor, and committee roles can create different product experiences.</w:t>
      </w:r>
    </w:p>
    <w:p>
      <w:pPr>
        <w:pStyle w:val="Heading2"/>
      </w:pPr>
      <w:r>
        <w:t>3. Actions and Routes: What Can I Do?</w:t>
      </w:r>
    </w:p>
    <w:p>
      <w:pPr>
        <w:pStyle w:val="ListBullet"/>
        <w:spacing w:after="120" w:line="259" w:lineRule="auto"/>
      </w:pPr>
      <w:r>
        <w:rPr>
          <w:rFonts w:ascii="Aptos" w:hAnsi="Aptos"/>
          <w:color w:val="1F2937"/>
          <w:sz w:val="20"/>
        </w:rPr>
        <w:t>Create, edit, delete, configure, invite, assign, permission management, and admin operations should require manage/write permission.</w:t>
      </w:r>
    </w:p>
    <w:p>
      <w:pPr>
        <w:pStyle w:val="ListBullet"/>
        <w:spacing w:after="120" w:line="259" w:lineRule="auto"/>
      </w:pPr>
      <w:r>
        <w:rPr>
          <w:rFonts w:ascii="Aptos" w:hAnsi="Aptos"/>
          <w:color w:val="1F2937"/>
          <w:sz w:val="20"/>
        </w:rPr>
        <w:t>Buttons should be hidden or disabled, direct routes should be guarded, and backend/downstream authorization should remain authoritative.</w:t>
      </w:r>
    </w:p>
    <w:p>
      <w:pPr>
        <w:pStyle w:val="Heading1"/>
      </w:pPr>
      <w:r>
        <w:t>Default Foundation and Project Selection</w:t>
      </w:r>
    </w:p>
    <w:p>
      <w:pPr>
        <w:spacing w:after="120" w:line="259" w:lineRule="auto"/>
      </w:pPr>
      <w:r>
        <w:rPr>
          <w:rFonts w:ascii="Aptos" w:hAnsi="Aptos"/>
          <w:color w:val="1F2937"/>
          <w:sz w:val="20"/>
        </w:rPr>
        <w:t>Defaulting should happen only after the selector candidate list has already been filtered by view permission.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B7C6D8"/>
          <w:left w:val="single" w:sz="6" w:space="0" w:color="B7C6D8"/>
          <w:bottom w:val="single" w:sz="6" w:space="0" w:color="B7C6D8"/>
          <w:right w:val="single" w:sz="6" w:space="0" w:color="B7C6D8"/>
          <w:insideH w:val="single" w:sz="6" w:space="0" w:color="B7C6D8"/>
          <w:insideV w:val="single" w:sz="6" w:space="0" w:color="B7C6D8"/>
        </w:tblBorders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2232"/>
            <w:shd w:fill="D9E7F5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17324D"/>
                <w:sz w:val="16"/>
              </w:rPr>
              <w:t>Step</w:t>
            </w:r>
          </w:p>
        </w:tc>
        <w:tc>
          <w:tcPr>
            <w:tcW w:type="dxa" w:w="3024"/>
            <w:shd w:fill="D9E7F5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17324D"/>
                <w:sz w:val="16"/>
              </w:rPr>
              <w:t>Foundation Lens</w:t>
            </w:r>
          </w:p>
        </w:tc>
        <w:tc>
          <w:tcPr>
            <w:tcW w:type="dxa" w:w="4968"/>
            <w:shd w:fill="D9E7F5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17324D"/>
                <w:sz w:val="16"/>
              </w:rPr>
              <w:t>Project Lens</w:t>
            </w:r>
          </w:p>
        </w:tc>
      </w:tr>
      <w:tr>
        <w:tc>
          <w:tcPr>
            <w:tcW w:type="dxa" w:w="2232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1</w:t>
            </w:r>
          </w:p>
        </w:tc>
        <w:tc>
          <w:tcPr>
            <w:tcW w:type="dxa" w:w="3024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Keep existing selected foundation if still view-permitted.</w:t>
            </w:r>
          </w:p>
        </w:tc>
        <w:tc>
          <w:tcPr>
            <w:tcW w:type="dxa" w:w="4968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Keep existing selected project if still view-permitted.</w:t>
            </w:r>
          </w:p>
        </w:tc>
      </w:tr>
      <w:tr>
        <w:tc>
          <w:tcPr>
            <w:tcW w:type="dxa" w:w="2232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2</w:t>
            </w:r>
          </w:p>
        </w:tc>
        <w:tc>
          <w:tcPr>
            <w:tcW w:type="dxa" w:w="3024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Choose Executive Director foundation if view-permitted.</w:t>
            </w:r>
          </w:p>
        </w:tc>
        <w:tc>
          <w:tcPr>
            <w:tcW w:type="dxa" w:w="4968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Choose Maintainer project if view-permitted.</w:t>
            </w:r>
          </w:p>
        </w:tc>
      </w:tr>
      <w:tr>
        <w:tc>
          <w:tcPr>
            <w:tcW w:type="dxa" w:w="2232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3</w:t>
            </w:r>
          </w:p>
        </w:tc>
        <w:tc>
          <w:tcPr>
            <w:tcW w:type="dxa" w:w="3024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Choose Board Member foundation if view-permitted.</w:t>
            </w:r>
          </w:p>
        </w:tc>
        <w:tc>
          <w:tcPr>
            <w:tcW w:type="dxa" w:w="4968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Choose Contributor project if view-permitted.</w:t>
            </w:r>
          </w:p>
        </w:tc>
      </w:tr>
      <w:tr>
        <w:tc>
          <w:tcPr>
            <w:tcW w:type="dxa" w:w="2232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4</w:t>
            </w:r>
          </w:p>
        </w:tc>
        <w:tc>
          <w:tcPr>
            <w:tcW w:type="dxa" w:w="3024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Choose first view-permitted foundation in stable order.</w:t>
            </w:r>
          </w:p>
        </w:tc>
        <w:tc>
          <w:tcPr>
            <w:tcW w:type="dxa" w:w="4968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Choose first view-permitted project in stable order.</w:t>
            </w:r>
          </w:p>
        </w:tc>
      </w:tr>
    </w:tbl>
    <w:p/>
    <w:p>
      <w:pPr>
        <w:pStyle w:val="Heading1"/>
      </w:pPr>
      <w:r>
        <w:t>Implementation Priority</w:t>
      </w:r>
    </w:p>
    <w:p>
      <w:pPr>
        <w:spacing w:before="40" w:after="160"/>
        <w:ind w:left="259"/>
      </w:pPr>
      <w:r>
        <w:rPr>
          <w:rFonts w:ascii="Aptos Mono" w:hAnsi="Aptos Mono"/>
          <w:color w:val="17324D"/>
          <w:sz w:val="18"/>
        </w:rPr>
        <w:t>Priority 1:</w:t>
        <w:br/>
        <w:t>Make Foundation/Project selector eligibility explicitly view-permission scoped.</w:t>
        <w:br/>
        <w:br/>
        <w:t>Candidate contexts + view permission check = selector items</w:t>
      </w:r>
    </w:p>
    <w:p>
      <w:pPr>
        <w:pStyle w:val="Heading1"/>
      </w:pPr>
      <w:r>
        <w:t>Current Code Status</w:t>
      </w:r>
    </w:p>
    <w:p>
      <w:pPr>
        <w:spacing w:after="120" w:line="259" w:lineRule="auto"/>
      </w:pPr>
      <w:r>
        <w:rPr>
          <w:rFonts w:ascii="Aptos" w:hAnsi="Aptos"/>
          <w:color w:val="1F2937"/>
          <w:sz w:val="20"/>
        </w:rPr>
        <w:t xml:space="preserve">Verified against </w:t>
      </w:r>
      <w:r>
        <w:rPr>
          <w:rFonts w:ascii="Aptos" w:hAnsi="Aptos"/>
          <w:b/>
          <w:color w:val="1F2937"/>
          <w:sz w:val="20"/>
        </w:rPr>
        <w:t>origin/main</w:t>
      </w:r>
      <w:r>
        <w:rPr>
          <w:rFonts w:ascii="Aptos" w:hAnsi="Aptos"/>
          <w:color w:val="1F2937"/>
          <w:sz w:val="20"/>
        </w:rPr>
        <w:t xml:space="preserve"> on May 6, 2026.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B7C6D8"/>
          <w:left w:val="single" w:sz="6" w:space="0" w:color="B7C6D8"/>
          <w:bottom w:val="single" w:sz="6" w:space="0" w:color="B7C6D8"/>
          <w:right w:val="single" w:sz="6" w:space="0" w:color="B7C6D8"/>
          <w:insideH w:val="single" w:sz="6" w:space="0" w:color="B7C6D8"/>
          <w:insideV w:val="single" w:sz="6" w:space="0" w:color="B7C6D8"/>
        </w:tblBorders>
      </w:tblPr>
      <w:tblGrid>
        <w:gridCol w:w="2045"/>
        <w:gridCol w:w="2045"/>
        <w:gridCol w:w="2045"/>
        <w:gridCol w:w="2045"/>
        <w:gridCol w:w="2045"/>
      </w:tblGrid>
      <w:tr>
        <w:trPr>
          <w:tblHeader w:val="true"/>
        </w:trPr>
        <w:tc>
          <w:tcPr>
            <w:tcW w:type="dxa" w:w="1800"/>
            <w:shd w:fill="D9E7F5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17324D"/>
                <w:sz w:val="16"/>
              </w:rPr>
              <w:t>Area</w:t>
            </w:r>
          </w:p>
        </w:tc>
        <w:tc>
          <w:tcPr>
            <w:tcW w:type="dxa" w:w="2232"/>
            <w:shd w:fill="D9E7F5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17324D"/>
                <w:sz w:val="16"/>
              </w:rPr>
              <w:t>Target behavior</w:t>
            </w:r>
          </w:p>
        </w:tc>
        <w:tc>
          <w:tcPr>
            <w:tcW w:type="dxa" w:w="1655"/>
            <w:shd w:fill="D9E7F5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17324D"/>
                <w:sz w:val="16"/>
              </w:rPr>
              <w:t>Current status</w:t>
            </w:r>
          </w:p>
        </w:tc>
        <w:tc>
          <w:tcPr>
            <w:tcW w:type="dxa" w:w="2880"/>
            <w:shd w:fill="D9E7F5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17324D"/>
                <w:sz w:val="16"/>
              </w:rPr>
              <w:t>What is done</w:t>
            </w:r>
          </w:p>
        </w:tc>
        <w:tc>
          <w:tcPr>
            <w:tcW w:type="dxa" w:w="3096"/>
            <w:shd w:fill="D9E7F5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17324D"/>
                <w:sz w:val="16"/>
              </w:rPr>
              <w:t>What still needs to be done</w:t>
            </w:r>
          </w:p>
        </w:tc>
      </w:tr>
      <w:tr>
        <w:tc>
          <w:tcPr>
            <w:tcW w:type="dxa" w:w="1800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Foundation/Project selector</w:t>
            </w:r>
          </w:p>
        </w:tc>
        <w:tc>
          <w:tcPr>
            <w:tcW w:type="dxa" w:w="2232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Show only contexts where the user has view permission.</w:t>
            </w:r>
          </w:p>
        </w:tc>
        <w:tc>
          <w:tcPr>
            <w:tcW w:type="dxa" w:w="1655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Partially aligned.</w:t>
            </w:r>
          </w:p>
        </w:tc>
        <w:tc>
          <w:tcPr>
            <w:tcW w:type="dxa" w:w="2880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The server navigation service now sources selector items through the query/resource API using the user's bearer token. If that upstream API enforces viewer access, the selector is effectively view-permission scoped.</w:t>
            </w:r>
          </w:p>
        </w:tc>
        <w:tc>
          <w:tcPr>
            <w:tcW w:type="dxa" w:w="3096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 xml:space="preserve">Confirm and document the upstream contract. If the BFF must own this explicitly, add a batch </w:t>
            </w:r>
            <w:r>
              <w:rPr>
                <w:rFonts w:ascii="Aptos Mono" w:hAnsi="Aptos Mono"/>
                <w:b/>
                <w:color w:val="27364A"/>
                <w:sz w:val="15"/>
              </w:rPr>
              <w:t>viewer</w:t>
            </w:r>
            <w:r>
              <w:rPr>
                <w:rFonts w:ascii="Aptos" w:hAnsi="Aptos"/>
                <w:color w:val="27364A"/>
                <w:sz w:val="15"/>
              </w:rPr>
              <w:t xml:space="preserve"> access check before returning selector items, including selected-item injection.</w:t>
            </w:r>
          </w:p>
        </w:tc>
      </w:tr>
      <w:tr>
        <w:tc>
          <w:tcPr>
            <w:tcW w:type="dxa" w:w="1800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Default Foundation/Project selection</w:t>
            </w:r>
          </w:p>
        </w:tc>
        <w:tc>
          <w:tcPr>
            <w:tcW w:type="dxa" w:w="2232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Default only from view-permitted contexts, then use persona priority.</w:t>
            </w:r>
          </w:p>
        </w:tc>
        <w:tc>
          <w:tcPr>
            <w:tcW w:type="dxa" w:w="1655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Mostly aligned.</w:t>
            </w:r>
          </w:p>
        </w:tc>
        <w:tc>
          <w:tcPr>
            <w:tcW w:type="dxa" w:w="2880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The frontend keeps the existing selected context if still present, then chooses by persona priority, then falls back to the first returned item. Foundation and project priorities are separated.</w:t>
            </w:r>
          </w:p>
        </w:tc>
        <w:tc>
          <w:tcPr>
            <w:tcW w:type="dxa" w:w="3096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Keep this logic, but make the dependency clear: persona priority should only run after the candidate list has already been filtered by view permission. Add focused tests for multiple-foundation and multiple-project users.</w:t>
            </w:r>
          </w:p>
        </w:tc>
      </w:tr>
      <w:tr>
        <w:tc>
          <w:tcPr>
            <w:tcW w:type="dxa" w:w="1800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Lens availability</w:t>
            </w:r>
          </w:p>
        </w:tc>
        <w:tc>
          <w:tcPr>
            <w:tcW w:type="dxa" w:w="2232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Show available lenses based on the user's valid product context and persona.</w:t>
            </w:r>
          </w:p>
        </w:tc>
        <w:tc>
          <w:tcPr>
            <w:tcW w:type="dxa" w:w="1655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Partially aligned.</w:t>
            </w:r>
          </w:p>
        </w:tc>
        <w:tc>
          <w:tcPr>
            <w:tcW w:type="dxa" w:w="2880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 xml:space="preserve">Lens availability is persona/root-writer based today. </w:t>
            </w:r>
            <w:r>
              <w:rPr>
                <w:rFonts w:ascii="Aptos Mono" w:hAnsi="Aptos Mono"/>
                <w:b/>
                <w:color w:val="27364A"/>
                <w:sz w:val="15"/>
              </w:rPr>
              <w:t>Me</w:t>
            </w:r>
            <w:r>
              <w:rPr>
                <w:rFonts w:ascii="Aptos" w:hAnsi="Aptos"/>
                <w:color w:val="27364A"/>
                <w:sz w:val="15"/>
              </w:rPr>
              <w:t xml:space="preserve"> and </w:t>
            </w:r>
            <w:r>
              <w:rPr>
                <w:rFonts w:ascii="Aptos Mono" w:hAnsi="Aptos Mono"/>
                <w:b/>
                <w:color w:val="27364A"/>
                <w:sz w:val="15"/>
              </w:rPr>
              <w:t>Organization</w:t>
            </w:r>
            <w:r>
              <w:rPr>
                <w:rFonts w:ascii="Aptos" w:hAnsi="Aptos"/>
                <w:color w:val="27364A"/>
                <w:sz w:val="15"/>
              </w:rPr>
              <w:t xml:space="preserve"> are always available; Foundation and Project lenses depend on board/project persona or root writer.</w:t>
            </w:r>
          </w:p>
        </w:tc>
        <w:tc>
          <w:tcPr>
            <w:tcW w:type="dxa" w:w="3096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Decide whether Foundation/Project lens buttons should also require at least one view-permitted Foundation/Project candidate. If yes, wire lens availability to selector/context availability without coupling it to page content rules.</w:t>
            </w:r>
          </w:p>
        </w:tc>
      </w:tr>
      <w:tr>
        <w:tc>
          <w:tcPr>
            <w:tcW w:type="dxa" w:w="1800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Sidebar links</w:t>
            </w:r>
          </w:p>
        </w:tc>
        <w:tc>
          <w:tcPr>
            <w:tcW w:type="dxa" w:w="2232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Decide visible links by persona/role once the user is inside a valid context.</w:t>
            </w:r>
          </w:p>
        </w:tc>
        <w:tc>
          <w:tcPr>
            <w:tcW w:type="dxa" w:w="1655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Mostly aligned.</w:t>
            </w:r>
          </w:p>
        </w:tc>
        <w:tc>
          <w:tcPr>
            <w:tcW w:type="dxa" w:w="2880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Sidebar content is lens/persona driven. For example, Foundation Health Metrics is Executive Director only, and Project navigation changes for board-scoped versus project-scoped personas.</w:t>
            </w:r>
          </w:p>
        </w:tc>
        <w:tc>
          <w:tcPr>
            <w:tcW w:type="dxa" w:w="3096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 xml:space="preserve">Document the persona-to-link matrix and add regression tests. Keep sidebar visibility separate from action authorization. Review data-driven exceptions such as the Foundation </w:t>
            </w:r>
            <w:r>
              <w:rPr>
                <w:rFonts w:ascii="Aptos Mono" w:hAnsi="Aptos Mono"/>
                <w:b/>
                <w:color w:val="27364A"/>
                <w:sz w:val="15"/>
              </w:rPr>
              <w:t>Projects</w:t>
            </w:r>
            <w:r>
              <w:rPr>
                <w:rFonts w:ascii="Aptos" w:hAnsi="Aptos"/>
                <w:color w:val="27364A"/>
                <w:sz w:val="15"/>
              </w:rPr>
              <w:t xml:space="preserve"> link.</w:t>
            </w:r>
          </w:p>
        </w:tc>
      </w:tr>
      <w:tr>
        <w:tc>
          <w:tcPr>
            <w:tcW w:type="dxa" w:w="1800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Page content</w:t>
            </w:r>
          </w:p>
        </w:tc>
        <w:tc>
          <w:tcPr>
            <w:tcW w:type="dxa" w:w="2232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Shape dashboards, sections, cards, tabs, and metrics by persona.</w:t>
            </w:r>
          </w:p>
        </w:tc>
        <w:tc>
          <w:tcPr>
            <w:tcW w:type="dxa" w:w="1655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Partially aligned.</w:t>
            </w:r>
          </w:p>
        </w:tc>
        <w:tc>
          <w:tcPr>
            <w:tcW w:type="dxa" w:w="2880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Some content variants already use persona and lens-specific logic.</w:t>
            </w:r>
          </w:p>
        </w:tc>
        <w:tc>
          <w:tcPr>
            <w:tcW w:type="dxa" w:w="3096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Create an explicit page-content matrix for key personas: Executive Director, Board Member, Maintainer, Contributor, committee roles. Add tests for high-risk pages.</w:t>
            </w:r>
          </w:p>
        </w:tc>
      </w:tr>
      <w:tr>
        <w:tc>
          <w:tcPr>
            <w:tcW w:type="dxa" w:w="1800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Quick links and create buttons</w:t>
            </w:r>
          </w:p>
        </w:tc>
        <w:tc>
          <w:tcPr>
            <w:tcW w:type="dxa" w:w="2232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Show write/manage actions only when the user can perform them.</w:t>
            </w:r>
          </w:p>
        </w:tc>
        <w:tc>
          <w:tcPr>
            <w:tcW w:type="dxa" w:w="1655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Mostly aligned for common dashboard actions.</w:t>
            </w:r>
          </w:p>
        </w:tc>
        <w:tc>
          <w:tcPr>
            <w:tcW w:type="dxa" w:w="2880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 xml:space="preserve">Many quick links and dashboard create actions are gated by </w:t>
            </w:r>
            <w:r>
              <w:rPr>
                <w:rFonts w:ascii="Aptos Mono" w:hAnsi="Aptos Mono"/>
                <w:b/>
                <w:color w:val="27364A"/>
                <w:sz w:val="15"/>
              </w:rPr>
              <w:t>canWrite()</w:t>
            </w:r>
            <w:r>
              <w:rPr>
                <w:rFonts w:ascii="Aptos" w:hAnsi="Aptos"/>
                <w:color w:val="27364A"/>
                <w:sz w:val="15"/>
              </w:rPr>
              <w:t xml:space="preserve"> or </w:t>
            </w:r>
            <w:r>
              <w:rPr>
                <w:rFonts w:ascii="Aptos Mono" w:hAnsi="Aptos Mono"/>
                <w:b/>
                <w:color w:val="27364A"/>
                <w:sz w:val="15"/>
              </w:rPr>
              <w:t>writer</w:t>
            </w:r>
            <w:r>
              <w:rPr>
                <w:rFonts w:ascii="Aptos" w:hAnsi="Aptos"/>
                <w:color w:val="27364A"/>
                <w:sz w:val="15"/>
              </w:rPr>
              <w:t>.</w:t>
            </w:r>
          </w:p>
        </w:tc>
        <w:tc>
          <w:tcPr>
            <w:tcW w:type="dxa" w:w="3096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Audit all action surfaces so buttons, menus, empty states, and inline actions consistently use manage/write permission.</w:t>
            </w:r>
          </w:p>
        </w:tc>
      </w:tr>
      <w:tr>
        <w:tc>
          <w:tcPr>
            <w:tcW w:type="dxa" w:w="1800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Direct create/edit routes</w:t>
            </w:r>
          </w:p>
        </w:tc>
        <w:tc>
          <w:tcPr>
            <w:tcW w:type="dxa" w:w="2232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Prevent navigation to write flows without manage/write permission.</w:t>
            </w:r>
          </w:p>
        </w:tc>
        <w:tc>
          <w:tcPr>
            <w:tcW w:type="dxa" w:w="1655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Gap remains.</w:t>
            </w:r>
          </w:p>
        </w:tc>
        <w:tc>
          <w:tcPr>
            <w:tcW w:type="dxa" w:w="2880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A writer guard exists.</w:t>
            </w:r>
          </w:p>
        </w:tc>
        <w:tc>
          <w:tcPr>
            <w:tcW w:type="dxa" w:w="3096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 xml:space="preserve">Wire create/edit/admin routes through manage/write guards, not only </w:t>
            </w:r>
            <w:r>
              <w:rPr>
                <w:rFonts w:ascii="Aptos Mono" w:hAnsi="Aptos Mono"/>
                <w:b/>
                <w:color w:val="27364A"/>
                <w:sz w:val="15"/>
              </w:rPr>
              <w:t>authGuard</w:t>
            </w:r>
            <w:r>
              <w:rPr>
                <w:rFonts w:ascii="Aptos" w:hAnsi="Aptos"/>
                <w:color w:val="27364A"/>
                <w:sz w:val="15"/>
              </w:rPr>
              <w:t>. This includes committees, meetings, mailing lists, votes, surveys, settings/admin flows, and any new management routes.</w:t>
            </w:r>
          </w:p>
        </w:tc>
      </w:tr>
      <w:tr>
        <w:tc>
          <w:tcPr>
            <w:tcW w:type="dxa" w:w="1800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Settings and permission management</w:t>
            </w:r>
          </w:p>
        </w:tc>
        <w:tc>
          <w:tcPr>
            <w:tcW w:type="dxa" w:w="2232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Admin actions require manage/write/admin authority.</w:t>
            </w:r>
          </w:p>
        </w:tc>
        <w:tc>
          <w:tcPr>
            <w:tcW w:type="dxa" w:w="1655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Gap remains.</w:t>
            </w:r>
          </w:p>
        </w:tc>
        <w:tc>
          <w:tcPr>
            <w:tcW w:type="dxa" w:w="2880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Settings screens exist and route through authentication.</w:t>
            </w:r>
          </w:p>
        </w:tc>
        <w:tc>
          <w:tcPr>
            <w:tcW w:type="dxa" w:w="3096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Gate actions such as Add User, role update, and removal by manage/write/admin permission. Hide or disable UI affordances and protect direct routes/API calls.</w:t>
            </w:r>
          </w:p>
        </w:tc>
      </w:tr>
      <w:tr>
        <w:tc>
          <w:tcPr>
            <w:tcW w:type="dxa" w:w="1800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Backend/downstream authorization</w:t>
            </w:r>
          </w:p>
        </w:tc>
        <w:tc>
          <w:tcPr>
            <w:tcW w:type="dxa" w:w="2232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Backend remains authoritative even if UI hides something.</w:t>
            </w:r>
          </w:p>
        </w:tc>
        <w:tc>
          <w:tcPr>
            <w:tcW w:type="dxa" w:w="1655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Needs confirmation per surface.</w:t>
            </w:r>
          </w:p>
        </w:tc>
        <w:tc>
          <w:tcPr>
            <w:tcW w:type="dxa" w:w="2880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Several services enrich resources with writer/organizer flags through access-check patterns.</w:t>
            </w:r>
          </w:p>
        </w:tc>
        <w:tc>
          <w:tcPr>
            <w:tcW w:type="dxa" w:w="3096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Confirm downstream APIs reject unauthorized writes. UI guards should improve UX, not become the only enforcement layer.</w:t>
            </w:r>
          </w:p>
        </w:tc>
      </w:tr>
    </w:tbl>
    <w:p/>
    <w:p>
      <w:pPr>
        <w:pStyle w:val="Heading1"/>
      </w:pPr>
      <w:r>
        <w:t>Proposed Work Plan and Estimate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B7C6D8"/>
          <w:left w:val="single" w:sz="6" w:space="0" w:color="B7C6D8"/>
          <w:bottom w:val="single" w:sz="6" w:space="0" w:color="B7C6D8"/>
          <w:right w:val="single" w:sz="6" w:space="0" w:color="B7C6D8"/>
          <w:insideH w:val="single" w:sz="6" w:space="0" w:color="B7C6D8"/>
          <w:insideV w:val="single" w:sz="6" w:space="0" w:color="B7C6D8"/>
        </w:tblBorders>
      </w:tblPr>
      <w:tblGrid>
        <w:gridCol w:w="2556"/>
        <w:gridCol w:w="2556"/>
        <w:gridCol w:w="2556"/>
        <w:gridCol w:w="2556"/>
      </w:tblGrid>
      <w:tr>
        <w:trPr>
          <w:tblHeader w:val="true"/>
        </w:trPr>
        <w:tc>
          <w:tcPr>
            <w:tcW w:type="dxa" w:w="1655"/>
            <w:shd w:fill="D9E7F5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17324D"/>
                <w:sz w:val="16"/>
              </w:rPr>
              <w:t>Priority</w:t>
            </w:r>
          </w:p>
        </w:tc>
        <w:tc>
          <w:tcPr>
            <w:tcW w:type="dxa" w:w="3024"/>
            <w:shd w:fill="D9E7F5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17324D"/>
                <w:sz w:val="16"/>
              </w:rPr>
              <w:t>Work item</w:t>
            </w:r>
          </w:p>
        </w:tc>
        <w:tc>
          <w:tcPr>
            <w:tcW w:type="dxa" w:w="3024"/>
            <w:shd w:fill="D9E7F5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17324D"/>
                <w:sz w:val="16"/>
              </w:rPr>
              <w:t>Why it matters</w:t>
            </w:r>
          </w:p>
        </w:tc>
        <w:tc>
          <w:tcPr>
            <w:tcW w:type="dxa" w:w="2520"/>
            <w:shd w:fill="D9E7F5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17324D"/>
                <w:sz w:val="16"/>
              </w:rPr>
              <w:t>Estimated effort</w:t>
            </w:r>
          </w:p>
        </w:tc>
      </w:tr>
      <w:tr>
        <w:tc>
          <w:tcPr>
            <w:tcW w:type="dxa" w:w="1655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P0</w:t>
            </w:r>
          </w:p>
        </w:tc>
        <w:tc>
          <w:tcPr>
            <w:tcW w:type="dxa" w:w="3024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Confirm selector permission contract with query/resource API owners.</w:t>
            </w:r>
          </w:p>
        </w:tc>
        <w:tc>
          <w:tcPr>
            <w:tcW w:type="dxa" w:w="3024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 xml:space="preserve">This decides whether the BFF can rely on upstream filtering or must explicitly check </w:t>
            </w:r>
            <w:r>
              <w:rPr>
                <w:rFonts w:ascii="Aptos Mono" w:hAnsi="Aptos Mono"/>
                <w:b/>
                <w:color w:val="27364A"/>
                <w:sz w:val="15"/>
              </w:rPr>
              <w:t>viewer</w:t>
            </w:r>
            <w:r>
              <w:rPr>
                <w:rFonts w:ascii="Aptos" w:hAnsi="Aptos"/>
                <w:color w:val="27364A"/>
                <w:sz w:val="15"/>
              </w:rPr>
              <w:t>.</w:t>
            </w:r>
          </w:p>
        </w:tc>
        <w:tc>
          <w:tcPr>
            <w:tcW w:type="dxa" w:w="2520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0.5 day</w:t>
            </w:r>
          </w:p>
        </w:tc>
      </w:tr>
      <w:tr>
        <w:tc>
          <w:tcPr>
            <w:tcW w:type="dxa" w:w="1655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P1</w:t>
            </w:r>
          </w:p>
        </w:tc>
        <w:tc>
          <w:tcPr>
            <w:tcW w:type="dxa" w:w="3024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Add explicit selector viewer check if upstream contract is not strong enough.</w:t>
            </w:r>
          </w:p>
        </w:tc>
        <w:tc>
          <w:tcPr>
            <w:tcW w:type="dxa" w:w="3024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Makes "where can I go" locally testable and prevents persona from acting as access control.</w:t>
            </w:r>
          </w:p>
        </w:tc>
        <w:tc>
          <w:tcPr>
            <w:tcW w:type="dxa" w:w="2520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1-2 days</w:t>
            </w:r>
          </w:p>
        </w:tc>
      </w:tr>
      <w:tr>
        <w:tc>
          <w:tcPr>
            <w:tcW w:type="dxa" w:w="1655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P1</w:t>
            </w:r>
          </w:p>
        </w:tc>
        <w:tc>
          <w:tcPr>
            <w:tcW w:type="dxa" w:w="3024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Add tests for default Foundation/Project selection.</w:t>
            </w:r>
          </w:p>
        </w:tc>
        <w:tc>
          <w:tcPr>
            <w:tcW w:type="dxa" w:w="3024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Protects the highest-priority flow: multiple contexts, persona priority, and fallback behavior.</w:t>
            </w:r>
          </w:p>
        </w:tc>
        <w:tc>
          <w:tcPr>
            <w:tcW w:type="dxa" w:w="2520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1 day</w:t>
            </w:r>
          </w:p>
        </w:tc>
      </w:tr>
      <w:tr>
        <w:tc>
          <w:tcPr>
            <w:tcW w:type="dxa" w:w="1655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P1</w:t>
            </w:r>
          </w:p>
        </w:tc>
        <w:tc>
          <w:tcPr>
            <w:tcW w:type="dxa" w:w="3024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Wire manage/write guard to direct create/edit/admin routes.</w:t>
            </w:r>
          </w:p>
        </w:tc>
        <w:tc>
          <w:tcPr>
            <w:tcW w:type="dxa" w:w="3024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Hidden buttons are not enough; direct URLs must be protected.</w:t>
            </w:r>
          </w:p>
        </w:tc>
        <w:tc>
          <w:tcPr>
            <w:tcW w:type="dxa" w:w="2520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1-2 days</w:t>
            </w:r>
          </w:p>
        </w:tc>
      </w:tr>
      <w:tr>
        <w:tc>
          <w:tcPr>
            <w:tcW w:type="dxa" w:w="1655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P1</w:t>
            </w:r>
          </w:p>
        </w:tc>
        <w:tc>
          <w:tcPr>
            <w:tcW w:type="dxa" w:w="3024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Gate Settings and permission-management actions.</w:t>
            </w:r>
          </w:p>
        </w:tc>
        <w:tc>
          <w:tcPr>
            <w:tcW w:type="dxa" w:w="3024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These are high-impact admin operations and should not be visible or executable without authority.</w:t>
            </w:r>
          </w:p>
        </w:tc>
        <w:tc>
          <w:tcPr>
            <w:tcW w:type="dxa" w:w="2520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1 day</w:t>
            </w:r>
          </w:p>
        </w:tc>
      </w:tr>
      <w:tr>
        <w:tc>
          <w:tcPr>
            <w:tcW w:type="dxa" w:w="1655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P2</w:t>
            </w:r>
          </w:p>
        </w:tc>
        <w:tc>
          <w:tcPr>
            <w:tcW w:type="dxa" w:w="3024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Document persona-to-sidebar and persona-to-page-content matrix.</w:t>
            </w:r>
          </w:p>
        </w:tc>
        <w:tc>
          <w:tcPr>
            <w:tcW w:type="dxa" w:w="3024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Gives product, architecture, and engineering one shared contract for "what I see."</w:t>
            </w:r>
          </w:p>
        </w:tc>
        <w:tc>
          <w:tcPr>
            <w:tcW w:type="dxa" w:w="2520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0.5-1 day</w:t>
            </w:r>
          </w:p>
        </w:tc>
      </w:tr>
      <w:tr>
        <w:tc>
          <w:tcPr>
            <w:tcW w:type="dxa" w:w="1655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P2</w:t>
            </w:r>
          </w:p>
        </w:tc>
        <w:tc>
          <w:tcPr>
            <w:tcW w:type="dxa" w:w="3024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Add persona/navigation regression tests for sidebar and key page content.</w:t>
            </w:r>
          </w:p>
        </w:tc>
        <w:tc>
          <w:tcPr>
            <w:tcW w:type="dxa" w:w="3024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Prevents future accidental coupling between persona visibility and permission authority.</w:t>
            </w:r>
          </w:p>
        </w:tc>
        <w:tc>
          <w:tcPr>
            <w:tcW w:type="dxa" w:w="2520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1-2 days</w:t>
            </w:r>
          </w:p>
        </w:tc>
      </w:tr>
      <w:tr>
        <w:tc>
          <w:tcPr>
            <w:tcW w:type="dxa" w:w="1655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P2</w:t>
            </w:r>
          </w:p>
        </w:tc>
        <w:tc>
          <w:tcPr>
            <w:tcW w:type="dxa" w:w="3024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Review backend write enforcement for each managed domain.</w:t>
            </w:r>
          </w:p>
        </w:tc>
        <w:tc>
          <w:tcPr>
            <w:tcW w:type="dxa" w:w="3024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Confirms UI guards are UX helpers, not the only security control.</w:t>
            </w:r>
          </w:p>
        </w:tc>
        <w:tc>
          <w:tcPr>
            <w:tcW w:type="dxa" w:w="2520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1 day</w:t>
            </w:r>
          </w:p>
        </w:tc>
      </w:tr>
    </w:tbl>
    <w:p/>
    <w:p>
      <w:pPr>
        <w:pStyle w:val="Heading1"/>
      </w:pPr>
      <w:r>
        <w:t>Known Follow-Up Areas</w:t>
      </w:r>
    </w:p>
    <w:p>
      <w:pPr>
        <w:pStyle w:val="ListBullet"/>
        <w:spacing w:after="120" w:line="259" w:lineRule="auto"/>
      </w:pPr>
      <w:r>
        <w:rPr>
          <w:rFonts w:ascii="Aptos" w:hAnsi="Aptos"/>
          <w:color w:val="1F2937"/>
          <w:sz w:val="20"/>
        </w:rPr>
        <w:t>Confirm whether upstream query/resource APIs already enforce view permission; if not, add explicit batch view checks.</w:t>
      </w:r>
    </w:p>
    <w:p>
      <w:pPr>
        <w:pStyle w:val="ListBullet"/>
        <w:spacing w:after="120" w:line="259" w:lineRule="auto"/>
      </w:pPr>
      <w:r>
        <w:rPr>
          <w:rFonts w:ascii="Aptos" w:hAnsi="Aptos"/>
          <w:color w:val="1F2937"/>
          <w:sz w:val="20"/>
        </w:rPr>
        <w:t>Keep persona/lens logic for sidebar and page composition, but avoid using persona as action authority.</w:t>
      </w:r>
    </w:p>
    <w:p>
      <w:pPr>
        <w:pStyle w:val="ListBullet"/>
        <w:spacing w:after="120" w:line="259" w:lineRule="auto"/>
      </w:pPr>
      <w:r>
        <w:rPr>
          <w:rFonts w:ascii="Aptos" w:hAnsi="Aptos"/>
          <w:color w:val="1F2937"/>
          <w:sz w:val="20"/>
        </w:rPr>
        <w:t>Guard direct create/edit/admin routes with manage/write permission, not only hidden buttons.</w:t>
      </w:r>
    </w:p>
    <w:p>
      <w:pPr>
        <w:pStyle w:val="ListBullet"/>
        <w:spacing w:after="120" w:line="259" w:lineRule="auto"/>
      </w:pPr>
      <w:r>
        <w:rPr>
          <w:rFonts w:ascii="Aptos" w:hAnsi="Aptos"/>
          <w:color w:val="1F2937"/>
          <w:sz w:val="20"/>
        </w:rPr>
        <w:t>Gate Permissions page admin actions such as Add User, role update, and removal by manage/write permission.</w:t>
      </w:r>
    </w:p>
    <w:p>
      <w:pPr>
        <w:pStyle w:val="Heading1"/>
      </w:pPr>
      <w:r>
        <w:t>Meeting Ask</w:t>
      </w:r>
    </w:p>
    <w:p>
      <w:pPr>
        <w:spacing w:after="120" w:line="259" w:lineRule="auto"/>
      </w:pPr>
      <w:r>
        <w:rPr>
          <w:rFonts w:ascii="Aptos" w:hAnsi="Aptos"/>
          <w:color w:val="1F2937"/>
          <w:sz w:val="20"/>
        </w:rPr>
        <w:t>Can we agree on this contract?</w:t>
      </w:r>
    </w:p>
    <w:p>
      <w:pPr>
        <w:spacing w:before="40" w:after="160"/>
        <w:ind w:left="259"/>
      </w:pPr>
      <w:r>
        <w:rPr>
          <w:rFonts w:ascii="Aptos Mono" w:hAnsi="Aptos Mono"/>
          <w:color w:val="17324D"/>
          <w:sz w:val="18"/>
        </w:rPr>
        <w:t>Context selector eligibility -&gt; view permission</w:t>
        <w:br/>
        <w:t>Sidebar/page/content visibility -&gt; persona/role</w:t>
        <w:br/>
        <w:t>Action authority -&gt; manage/write permission</w:t>
      </w:r>
    </w:p>
    <w:sectPr w:rsidR="00FC693F" w:rsidRPr="0006063C" w:rsidSect="00034616">
      <w:footerReference w:type="default" r:id="rId9"/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/>
        <w:color w:val="6B7280"/>
        <w:sz w:val="16"/>
      </w:rPr>
      <w:t>LFX One permission, persona, and navigation model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80"/>
      <w:outlineLvl w:val="0"/>
    </w:pPr>
    <w:rPr>
      <w:rFonts w:asciiTheme="majorHAnsi" w:eastAsiaTheme="majorEastAsia" w:hAnsiTheme="majorHAnsi" w:cstheme="majorBidi" w:ascii="Aptos" w:hAnsi="Aptos"/>
      <w:b/>
      <w:bCs/>
      <w:color w:val="244C7A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Aptos" w:hAnsi="Aptos"/>
      <w:b/>
      <w:bCs/>
      <w:color w:val="244C7A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Aptos" w:hAnsi="Aptos"/>
      <w:b/>
      <w:bCs/>
      <w:color w:val="244C7A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80" w:line="240" w:lineRule="auto" w:before="160"/>
      <w:contextualSpacing/>
    </w:pPr>
    <w:rPr>
      <w:rFonts w:asciiTheme="majorHAnsi" w:eastAsiaTheme="majorEastAsia" w:hAnsiTheme="majorHAnsi" w:cstheme="majorBidi" w:ascii="Aptos" w:hAnsi="Aptos"/>
      <w:b/>
      <w:color w:val="244C7A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