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/>
          <w:color w:val="244C7A"/>
          <w:sz w:val="40"/>
        </w:rPr>
        <w:t>Permission, Persona, and Navigation Model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Meeting preread for aligning how LFX One decides where users can go, what they see, and what they can do.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Tracking epic: LFXV2-1654 - https://linuxfoundation.atlassian.net/browse/LFXV2-1654</w:t>
      </w:r>
    </w:p>
    <w:p>
      <w:pPr>
        <w:pStyle w:val="Heading1"/>
      </w:pPr>
      <w:r>
        <w:t>How to Read This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document is meant to drive one team conversation: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1. Agree on the product/security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2. Confirm where the current code already follows that contract.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3. Decide what work belongs under the epic.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4. Sequence the remaining implementation work by risk and priority.</w:t>
      </w:r>
    </w:p>
    <w:p>
      <w:pPr>
        <w:pStyle w:val="Heading1"/>
      </w:pPr>
      <w:r>
        <w:t>Purpose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This preread proposes a clear separation between access, experience, and authority. The goal is to make the product easier to reason about and to keep persona-driven UX from accidentally becoming authorization logic.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simplest way to state the model: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View permission decides where the user can go.</w:t>
        <w:br/>
        <w:t>Persona/role decides what the user sees there.</w:t>
        <w:br/>
        <w:t>Manage/write permission decides what the user can do there.</w:t>
      </w:r>
    </w:p>
    <w:p>
      <w:pPr>
        <w:pStyle w:val="Heading1"/>
      </w:pPr>
      <w:r>
        <w:t>Core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Decision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Source of Truth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Meaning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Where can I go?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View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 eligibility.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do I see there?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Persona / role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links, page sections, dashboard variants, content shape.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What can I do?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Manage / write permission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Create, edit, delete, configure, invite, assign, administer.</w:t>
            </w:r>
          </w:p>
        </w:tc>
      </w:tr>
    </w:tbl>
    <w:p/>
    <w:p>
      <w:pPr>
        <w:pStyle w:val="Heading1"/>
      </w:pPr>
      <w:r>
        <w:t>Decision Boundaries</w:t>
      </w:r>
    </w:p>
    <w:p>
      <w:pPr>
        <w:pStyle w:val="Heading2"/>
      </w:pPr>
      <w:r>
        <w:t>1. Context Selector: Where Can I Go?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Foundation and Project selector eligibility should be based on view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If a context appears in the selector, the user should be allowed to enter that context.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Persona may narrow or prioritize the experience, but it should not be the authority for selector eligibility.</w:t>
      </w:r>
    </w:p>
    <w:p>
      <w:pPr>
        <w:pStyle w:val="Heading2"/>
      </w:pPr>
      <w:r>
        <w:t>2. Sidebar and Page Content: What Do I See There?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Once inside a view-permitted context, persona/role should shape navigation links, page sections, dashboards, tabs, cards, metrics, and content variants.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This is where Executive Director, Board Member, Maintainer, Contributor, and committee roles can create different product experiences.</w:t>
      </w:r>
    </w:p>
    <w:p>
      <w:pPr>
        <w:pStyle w:val="Heading2"/>
      </w:pPr>
      <w:r>
        <w:t>3. Actions and Routes: What Can I Do?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Create, edit, delete, configure, invite, assign, permission management, and admin operations should require manage/write permission.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Buttons should be hidden or disabled, direct routes should be guarded, and backend/downstream authorization should remain authoritative.</w:t>
      </w:r>
    </w:p>
    <w:p>
      <w:pPr>
        <w:pStyle w:val="Heading1"/>
      </w:pPr>
      <w:r>
        <w:t>Default Foundation and Project Selection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Defaulting should happen only after the selector candidate list has already been filtered by view permission.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Step</w:t>
            </w:r>
          </w:p>
        </w:tc>
        <w:tc>
          <w:tcPr>
            <w:tcW w:type="dxa" w:w="3024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Foundation Lens</w:t>
            </w:r>
          </w:p>
        </w:tc>
        <w:tc>
          <w:tcPr>
            <w:tcW w:type="dxa" w:w="4968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Project Lens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foundation if still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existing selected project if still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2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Executive Director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Maintainer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3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Board Member foundation if view-permitted.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Contributor project if view-permitted.</w:t>
            </w:r>
          </w:p>
        </w:tc>
      </w:tr>
      <w:tr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4</w:t>
            </w:r>
          </w:p>
        </w:tc>
        <w:tc>
          <w:tcPr>
            <w:tcW w:type="dxa" w:w="302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foundation in stable order.</w:t>
            </w:r>
          </w:p>
        </w:tc>
        <w:tc>
          <w:tcPr>
            <w:tcW w:type="dxa" w:w="4968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Choose first view-permitted project in stable order.</w:t>
            </w:r>
          </w:p>
        </w:tc>
      </w:tr>
    </w:tbl>
    <w:p/>
    <w:p>
      <w:pPr>
        <w:pStyle w:val="Heading1"/>
      </w:pPr>
      <w:r>
        <w:t>Implementation Priority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Priority 1:</w:t>
        <w:br/>
        <w:t>Make Foundation/Project selector eligibility explicitly view-permission scoped.</w:t>
        <w:br/>
        <w:br/>
        <w:t>Candidate contexts + view permission check = selector items</w:t>
      </w:r>
    </w:p>
    <w:p>
      <w:pPr>
        <w:pStyle w:val="Heading1"/>
      </w:pPr>
      <w:r>
        <w:t>Current Code Status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Verified against </w:t>
      </w:r>
      <w:r>
        <w:rPr>
          <w:rFonts w:ascii="Aptos" w:hAnsi="Aptos"/>
          <w:b/>
          <w:color w:val="1F2937"/>
          <w:sz w:val="20"/>
        </w:rPr>
        <w:t>origin/main</w:t>
      </w:r>
      <w:r>
        <w:rPr>
          <w:rFonts w:ascii="Aptos" w:hAnsi="Aptos"/>
          <w:color w:val="1F2937"/>
          <w:sz w:val="20"/>
        </w:rPr>
        <w:t xml:space="preserve"> on May 6,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180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2232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Target behavior</w:t>
            </w:r>
          </w:p>
        </w:tc>
        <w:tc>
          <w:tcPr>
            <w:tcW w:type="dxa" w:w="1655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status</w:t>
            </w:r>
          </w:p>
        </w:tc>
        <w:tc>
          <w:tcPr>
            <w:tcW w:type="dxa" w:w="28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is done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What still needs to be done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Foundation/Project selector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only contexts where the user has view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server navigation service now sources selector items through the query/resource API using the user's bearer token. If that upstream API enforces viewer access, the selector is effectively view-permission scoped.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Confirm and document the upstream contract. If the BFF must own this explicitly, add a batch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 xml:space="preserve"> access check before returning selector items, including selected-item injection.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Foundation/Project selection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Default only from view-permitted contexts, then use persona priority.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 frontend keeps the existing selected context if still present, then chooses by persona priority, then falls back to the first returned item. Foundation and project priorities are separated.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Keep this logic, but make the dependency clear: persona priority should only run after the candidate list has already been filtered by view permission. Add focused tests for multiple-foundation and multiple-project users.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Lens availability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available lenses based on the user's valid product context and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Lens availability is persona/root-writer based today. </w:t>
            </w:r>
            <w:r>
              <w:rPr>
                <w:rFonts w:ascii="Aptos Mono" w:hAnsi="Aptos Mono"/>
                <w:b/>
                <w:color w:val="27364A"/>
                <w:sz w:val="15"/>
              </w:rPr>
              <w:t>Me</w:t>
            </w:r>
            <w:r>
              <w:rPr>
                <w:rFonts w:ascii="Aptos" w:hAnsi="Aptos"/>
                <w:color w:val="27364A"/>
                <w:sz w:val="15"/>
              </w:rPr>
              <w:t xml:space="preserve"> and </w:t>
            </w:r>
            <w:r>
              <w:rPr>
                <w:rFonts w:ascii="Aptos Mono" w:hAnsi="Aptos Mono"/>
                <w:b/>
                <w:color w:val="27364A"/>
                <w:sz w:val="15"/>
              </w:rPr>
              <w:t>Organization</w:t>
            </w:r>
            <w:r>
              <w:rPr>
                <w:rFonts w:ascii="Aptos" w:hAnsi="Aptos"/>
                <w:color w:val="27364A"/>
                <w:sz w:val="15"/>
              </w:rPr>
              <w:t xml:space="preserve"> are always available; Foundation and Project lenses depend on board/project persona or root writer.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whether Foundation/Project lens buttons should also require at least one view-permitted Foundation/Project candidate. If yes, wire lens availability to selector/context availability without coupling it to page content rules.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links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Decide visible links by persona/role once the user is inside a valid context.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Sidebar content is lens/persona driven. For example, Foundation Health Metrics is Executive Director only, and Project navigation changes for board-scoped versus project-scoped personas.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Document the persona-to-link matrix and add regression tests. Keep sidebar visibility separate from action authorization. Review data-driven exceptions such as the Foundation </w:t>
            </w:r>
            <w:r>
              <w:rPr>
                <w:rFonts w:ascii="Aptos Mono" w:hAnsi="Aptos Mono"/>
                <w:b/>
                <w:color w:val="27364A"/>
                <w:sz w:val="15"/>
              </w:rPr>
              <w:t>Projects</w:t>
            </w:r>
            <w:r>
              <w:rPr>
                <w:rFonts w:ascii="Aptos" w:hAnsi="Aptos"/>
                <w:color w:val="27364A"/>
                <w:sz w:val="15"/>
              </w:rPr>
              <w:t xml:space="preserve"> link.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Page content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Shape dashboards, sections, cards, tabs, and metrics by persona.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Partially aligned.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Some content variants already use persona and lens-specific logic.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Create an explicit page-content matrix for key personas: Executive Director, Board Member, Maintainer, Contributor, committee roles. Add tests for high-risk pages.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Quick links and create buttons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Show write/manage actions only when the user can perform them.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Mostly aligned for common dashboard actions.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Many quick links and dashboard create actions are gated by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canWrite()</w:t>
            </w:r>
            <w:r>
              <w:rPr>
                <w:rFonts w:ascii="Aptos" w:hAnsi="Aptos"/>
                <w:color w:val="27364A"/>
                <w:sz w:val="15"/>
              </w:rPr>
              <w:t xml:space="preserve"> or </w:t>
            </w:r>
            <w:r>
              <w:rPr>
                <w:rFonts w:ascii="Aptos Mono" w:hAnsi="Aptos Mono"/>
                <w:b/>
                <w:color w:val="27364A"/>
                <w:sz w:val="15"/>
              </w:rPr>
              <w:t>writer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Audit all action surfaces so buttons, menus, empty states, and inline actions consistently use manage/write permission.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Direct create/edit routes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 navigation to write flows without manage/write permission.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 writer guard exists.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Wire create/edit/admin routes through manage/write guards, not only </w:t>
            </w:r>
            <w:r>
              <w:rPr>
                <w:rFonts w:ascii="Aptos Mono" w:hAnsi="Aptos Mono"/>
                <w:b/>
                <w:color w:val="27364A"/>
                <w:sz w:val="15"/>
              </w:rPr>
              <w:t>authGuard</w:t>
            </w:r>
            <w:r>
              <w:rPr>
                <w:rFonts w:ascii="Aptos" w:hAnsi="Aptos"/>
                <w:color w:val="27364A"/>
                <w:sz w:val="15"/>
              </w:rPr>
              <w:t>. This includes committees, meetings, mailing lists, votes, surveys, settings/admin flows, and any new management routes.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and permission management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Admin actions require manage/write/admin authority.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Gap remains.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Settings screens exist and route through authentication.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actions such as Add User, role update, and removal by manage/write/admin permission. Hide or disable UI affordances and protect direct routes/API calls.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Backend/downstream authorization</w:t>
            </w:r>
          </w:p>
        </w:tc>
        <w:tc>
          <w:tcPr>
            <w:tcW w:type="dxa" w:w="223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Backend remains authoritative even if UI hides something.</w:t>
            </w:r>
          </w:p>
        </w:tc>
        <w:tc>
          <w:tcPr>
            <w:tcW w:type="dxa" w:w="165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Needs confirmation per surface.</w:t>
            </w:r>
          </w:p>
        </w:tc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Several services enrich resources with writer/organizer flags through access-check patterns.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downstream APIs reject unauthorized writes. UI guards should improve UX, not become the only enforcement layer.</w:t>
            </w:r>
          </w:p>
        </w:tc>
      </w:tr>
    </w:tbl>
    <w:p/>
    <w:p>
      <w:pPr>
        <w:pStyle w:val="Heading1"/>
      </w:pPr>
      <w:r>
        <w:t>Proposed Work Plan and Estimate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All work below rolls up to epic LFXV2-1654.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6D8"/>
          <w:left w:val="single" w:sz="6" w:space="0" w:color="B7C6D8"/>
          <w:bottom w:val="single" w:sz="6" w:space="0" w:color="B7C6D8"/>
          <w:right w:val="single" w:sz="6" w:space="0" w:color="B7C6D8"/>
          <w:insideH w:val="single" w:sz="6" w:space="0" w:color="B7C6D8"/>
          <w:insideV w:val="single" w:sz="6" w:space="0" w:color="B7C6D8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 w:val="true"/>
        </w:trPr>
        <w:tc>
          <w:tcPr>
            <w:tcW w:type="dxa" w:w="118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Jira</w:t>
            </w:r>
          </w:p>
        </w:tc>
        <w:tc>
          <w:tcPr>
            <w:tcW w:type="dxa" w:w="72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Priority</w:t>
            </w:r>
          </w:p>
        </w:tc>
        <w:tc>
          <w:tcPr>
            <w:tcW w:type="dxa" w:w="103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Current Jira status</w:t>
            </w:r>
          </w:p>
        </w:tc>
        <w:tc>
          <w:tcPr>
            <w:tcW w:type="dxa" w:w="3096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Work item</w:t>
            </w:r>
          </w:p>
        </w:tc>
        <w:tc>
          <w:tcPr>
            <w:tcW w:type="dxa" w:w="324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Why it matters</w:t>
            </w:r>
          </w:p>
        </w:tc>
        <w:tc>
          <w:tcPr>
            <w:tcW w:type="dxa" w:w="950"/>
            <w:shd w:fill="D9E7F5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17324D"/>
                <w:sz w:val="16"/>
              </w:rPr>
              <w:t>Estimated effort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9">
              <w:r>
                <w:rPr>
                  <w:color w:val="0563C1"/>
                  <w:u w:val="single"/>
                  <w:sz w:val="15"/>
                </w:rPr>
                <w:t>LFXV2-1655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P0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 Foundation/Project selector permission contract with query/resource API owners.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 xml:space="preserve">This decides whether the BFF can rely on upstream filtering or must explicitly check </w:t>
            </w:r>
            <w:r>
              <w:rPr>
                <w:rFonts w:ascii="Aptos Mono" w:hAnsi="Aptos Mono"/>
                <w:b/>
                <w:color w:val="27364A"/>
                <w:sz w:val="15"/>
              </w:rPr>
              <w:t>viewer</w:t>
            </w:r>
            <w:r>
              <w:rPr>
                <w:rFonts w:ascii="Aptos" w:hAnsi="Aptos"/>
                <w:color w:val="27364A"/>
                <w:sz w:val="15"/>
              </w:rPr>
              <w:t>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  <w:sz w:val="15"/>
                </w:rPr>
                <w:t>LFXV2-1656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explicit viewer check to Foundation/Project selector in BFF.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Makes "where can I go" locally testable and prevents persona from acting as access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  <w:sz w:val="15"/>
                </w:rPr>
                <w:t>LFXV2-1657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tests for default Foundation/Project selection.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Protects the highest-priority flow: multiple contexts, persona priority, and fallback behavior.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  <w:sz w:val="15"/>
                </w:rPr>
                <w:t>LFXV2-1658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Wire manage/write guard to direct create/edit/admin routes.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Hidden buttons are not enough; direct URLs must be protected.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  <w:sz w:val="15"/>
                </w:rPr>
                <w:t>LFXV2-1659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P1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Gate Settings and permission-management admin actions by manage/write/admin.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These are high-impact admin operations and should not be visible or executable without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  <w:sz w:val="15"/>
                </w:rPr>
                <w:t>LFXV2-1660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Document persona-to-sidebar and persona-to-page-content matrix.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Gives product, architecture, and engineering one shared contract for "what I see."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0.5-1 day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5">
              <w:r>
                <w:rPr>
                  <w:color w:val="0563C1"/>
                  <w:u w:val="single"/>
                  <w:sz w:val="15"/>
                </w:rPr>
                <w:t>LFXV2-1661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Add persona/navigation regression tests for sidebar and key page content.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Prevents future accidental coupling between persona visibility and permission authority.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1-2 days</w:t>
            </w:r>
          </w:p>
        </w:tc>
      </w:tr>
      <w:tr>
        <w:tc>
          <w:tcPr>
            <w:tcW w:type="dxa" w:w="11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  <w:sz w:val="15"/>
                </w:rPr>
                <w:t>LFXV2-1662</w:t>
              </w:r>
            </w:hyperlink>
          </w:p>
        </w:tc>
        <w:tc>
          <w:tcPr>
            <w:tcW w:type="dxa" w:w="7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P2</w:t>
            </w:r>
          </w:p>
        </w:tc>
        <w:tc>
          <w:tcPr>
            <w:tcW w:type="dxa" w:w="10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Backlog</w:t>
            </w:r>
          </w:p>
        </w:tc>
        <w:tc>
          <w:tcPr>
            <w:tcW w:type="dxa" w:w="309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Review backend write enforcement per managed domain.</w:t>
            </w:r>
          </w:p>
        </w:tc>
        <w:tc>
          <w:tcPr>
            <w:tcW w:type="dxa" w:w="324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Confirms UI guards are UX helpers, not the only security control.</w:t>
            </w:r>
          </w:p>
        </w:tc>
        <w:tc>
          <w:tcPr>
            <w:tcW w:type="dxa" w:w="95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27364A"/>
                <w:sz w:val="15"/>
              </w:rPr>
              <w:t>1 day</w:t>
            </w:r>
          </w:p>
        </w:tc>
      </w:tr>
    </w:tbl>
    <w:p/>
    <w:p>
      <w:pPr>
        <w:pStyle w:val="Heading1"/>
      </w:pPr>
      <w:r>
        <w:t>Known Follow-Up Areas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Confirm whether upstream query/resource APIs already enforce view permission; if not, add explicit batch view checks.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Keep persona/lens logic for sidebar and page composition, but avoid using persona as action authority.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Guard direct create/edit/admin routes with manage/write permission, not only hidden buttons.</w:t>
      </w:r>
    </w:p>
    <w:p>
      <w:pPr>
        <w:pStyle w:val="ListBullet"/>
        <w:spacing w:after="120" w:line="259" w:lineRule="auto"/>
      </w:pPr>
      <w:r>
        <w:rPr>
          <w:rFonts w:ascii="Aptos" w:hAnsi="Aptos"/>
          <w:color w:val="1F2937"/>
          <w:sz w:val="20"/>
        </w:rPr>
        <w:t>Gate Permissions page admin actions such as Add User, role update, and removal by manage/write permission.</w:t>
      </w:r>
    </w:p>
    <w:p>
      <w:pPr>
        <w:pStyle w:val="Heading1"/>
      </w:pPr>
      <w:r>
        <w:t>Meeting Agreement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>The team aligned on this contract in the meeting:</w:t>
      </w:r>
    </w:p>
    <w:p>
      <w:pPr>
        <w:spacing w:before="40" w:after="160"/>
        <w:ind w:left="259"/>
      </w:pPr>
      <w:r>
        <w:rPr>
          <w:rFonts w:ascii="Aptos Mono" w:hAnsi="Aptos Mono"/>
          <w:color w:val="17324D"/>
          <w:sz w:val="18"/>
        </w:rPr>
        <w:t>Context selector eligibility -&gt; view permission</w:t>
        <w:br/>
        <w:t>Sidebar/page/content visibility -&gt; persona/role</w:t>
        <w:br/>
        <w:t>Action authority -&gt; manage/write permission</w:t>
      </w:r>
    </w:p>
    <w:p>
      <w:pPr>
        <w:spacing w:after="120" w:line="259" w:lineRule="auto"/>
      </w:pPr>
      <w:r>
        <w:rPr>
          <w:rFonts w:ascii="Aptos" w:hAnsi="Aptos"/>
          <w:color w:val="1F2937"/>
          <w:sz w:val="20"/>
        </w:rPr>
        <w:t xml:space="preserve">The remaining work is tracked under epic </w:t>
      </w:r>
      <w:hyperlink r:id="rId17">
        <w:r>
          <w:rPr>
            <w:color w:val="0563C1"/>
            <w:u w:val="single"/>
            <w:sz w:val="20"/>
          </w:rPr>
          <w:t>LFXV2-1654</w:t>
        </w:r>
      </w:hyperlink>
      <w:r>
        <w:rPr>
          <w:rFonts w:ascii="Aptos" w:hAnsi="Aptos"/>
          <w:color w:val="1F2937"/>
          <w:sz w:val="20"/>
        </w:rPr>
        <w:t xml:space="preserve"> and the individual Jira items listed above.</w:t>
      </w:r>
    </w:p>
    <w:sectPr w:rsidR="00FC693F" w:rsidRPr="0006063C" w:rsidSect="00034616">
      <w:footerReference w:type="default" r:id="rId18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LFX One permission, persona, and navigation model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244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44C7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44C7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244C7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uxfoundation.atlassian.net/browse/LFXV2-1655" TargetMode="External"/><Relationship Id="rId10" Type="http://schemas.openxmlformats.org/officeDocument/2006/relationships/hyperlink" Target="https://linuxfoundation.atlassian.net/browse/LFXV2-1656" TargetMode="External"/><Relationship Id="rId11" Type="http://schemas.openxmlformats.org/officeDocument/2006/relationships/hyperlink" Target="https://linuxfoundation.atlassian.net/browse/LFXV2-1657" TargetMode="External"/><Relationship Id="rId12" Type="http://schemas.openxmlformats.org/officeDocument/2006/relationships/hyperlink" Target="https://linuxfoundation.atlassian.net/browse/LFXV2-1658" TargetMode="External"/><Relationship Id="rId13" Type="http://schemas.openxmlformats.org/officeDocument/2006/relationships/hyperlink" Target="https://linuxfoundation.atlassian.net/browse/LFXV2-1659" TargetMode="External"/><Relationship Id="rId14" Type="http://schemas.openxmlformats.org/officeDocument/2006/relationships/hyperlink" Target="https://linuxfoundation.atlassian.net/browse/LFXV2-1660" TargetMode="External"/><Relationship Id="rId15" Type="http://schemas.openxmlformats.org/officeDocument/2006/relationships/hyperlink" Target="https://linuxfoundation.atlassian.net/browse/LFXV2-1661" TargetMode="External"/><Relationship Id="rId16" Type="http://schemas.openxmlformats.org/officeDocument/2006/relationships/hyperlink" Target="https://linuxfoundation.atlassian.net/browse/LFXV2-1662" TargetMode="External"/><Relationship Id="rId17" Type="http://schemas.openxmlformats.org/officeDocument/2006/relationships/hyperlink" Target="https://linuxfoundation.atlassian.net/browse/LFXV2-1654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