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rFonts w:ascii="B Nazanin" w:hAnsi="B Nazanin" w:cs="B Nazanin" w:eastAsia="B Nazanin"/>
        </w:rPr>
        <w:t>گزارش آمار ریسک اعتباری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 w:sz="2" w:space="0" w:color="000000"/>
          <w:insideV w:val="single" w:sz="2" w:space="0" w:color="000000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t>متغیر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میانگین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بیشینه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کمینه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تعداد مشاهده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انحراف معیار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واریانس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چولگی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کشیدگی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درآمد سالانه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77992.43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1.1E8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112696.2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1.27E10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493.89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439001.66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قسط ماهانه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445.81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1719.83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4.93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267.17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71381.7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0.69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نسبت بدهی به درآمد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18.82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999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-1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14.18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201.17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29.2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1755.26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تأخیر بیش از 2 سال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0.31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0.87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0.75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5.93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73.35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مانده اعتباری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16658.46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2.9E6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22948.31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5.27E8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13.23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643.2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مبلغ وام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15046.93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40000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500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9190.25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8.45E7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0.78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-0.12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تعداد حساب‌ها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24.16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11.99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143.7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1.01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1.85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نرخ بهره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13.09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30.99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5.31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4.83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23.35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0.77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0.59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حساب‌های فعال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11.61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5.64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31.82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1.32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3.45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سوابق عمومی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86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2.26E6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0.57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0.33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11.38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704.12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2025-02-01T21:03:50Z</dcterms:created>
  <dc:creator>Apache POI</dc:creator>
</cp:coreProperties>
</file>