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Rapport projet GROUPE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18662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092" l="0" r="0" t="2776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Nom des employés de l’entreprise Brico Moins Conseils :</w:t>
        <w:br w:type="textWrapping"/>
        <w:t xml:space="preserve">SAINTIN Salome</w:t>
        <w:br w:type="textWrapping"/>
        <w:t xml:space="preserve">CARRIERE Sami</w:t>
        <w:br w:type="textWrapping"/>
        <w:t xml:space="preserve">JESOPHE SANCHEZ Mehdi</w:t>
        <w:br w:type="textWrapping"/>
        <w:t xml:space="preserve">LAUNAY-BECUE Gregoire</w:t>
        <w:br w:type="textWrapping"/>
        <w:t xml:space="preserve">RABEMANANTSOA Fenohasina</w:t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Dans le cadre de la réalisation d’une base de données pour gérer le personnel et les produits pour l’entreprise Brico Plus.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Contenu du document</w:t>
      </w:r>
      <w:r w:rsidDel="00000000" w:rsidR="00000000" w:rsidRPr="00000000">
        <w:rPr>
          <w:rtl w:val="0"/>
        </w:rPr>
        <w:t xml:space="preserve"> : dictionnaire de données, modèle Conceptuel des Données, hypothèses, modèle logique des données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Sommaire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Diagramme de Gantt…………………………………………………………….page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Dictionnaire des données……………………………………………………….page 2</w:t>
        <w:br w:type="textWrapping"/>
        <w:br w:type="textWrapping"/>
        <w:t xml:space="preserve">Modèle Conceptuel des Données………………………………………………page 6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Hypothèses………………………………………………………………………...page 6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Modèle logique des données.……………………………………………………page 7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Diagramme de Gantt Phase 1 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6041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Dictionnaire de données :</w:t>
        <w:br w:type="textWrapping"/>
        <w:t xml:space="preserve"> </w:t>
      </w:r>
      <w:r w:rsidDel="00000000" w:rsidR="00000000" w:rsidRPr="00000000">
        <w:rPr>
          <w:rtl w:val="0"/>
        </w:rPr>
      </w:r>
    </w:p>
    <w:sdt>
      <w:sdtPr>
        <w:lock w:val="contentLocked"/>
        <w:id w:val="1430250849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25"/>
            <w:gridCol w:w="1755"/>
            <w:gridCol w:w="2340"/>
            <w:gridCol w:w="2340"/>
            <w:tblGridChange w:id="0">
              <w:tblGrid>
                <w:gridCol w:w="2925"/>
                <w:gridCol w:w="1755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  <w:highlight w:val="cy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  <w:highlight w:val="cyan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Désignation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Type et 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Contrainte et règles de calcul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AnneeR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Année d’évolution rétrocession 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Date(YYYY)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CodeDep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 département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CodeE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 employé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CodeG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une gamme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Composé de deux parties : la lettre G et un nombre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CodePdt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 produit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CodePV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 point de vente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CodeQ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une qualification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 composé de chiffres et lettres 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 proposé par le ministère du travail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CodeTypeU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 type usine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after="0" w:before="128.28125" w:line="245.23263931274414" w:lineRule="auto"/>
                  <w:ind w:left="23.467178344726562" w:right="-4.617919921875" w:firstLine="6.175231933593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CodeU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unique identifiant une usine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CPEmp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postal de l'adresse de l’employé 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(CCCCC)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CPostPV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postal de l'adresse du point de vente (5 chiffres)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(CCCCC)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CPUsine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 postal de l'adresse de l’usine (5 chiffres)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(CCCCC)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DateDirecteur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 à laquelle un employé dirige un département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Date(YYYY)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DatePdtFab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 de fabrication des produits par l’usine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Date(JJ/MM/YYYY)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&lt;= date du jour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DateT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 à laquelle le salaire évolue chaque mois et année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Date(MM/YYYY)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IndiceRetro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Indice de rétrocession associé à chaque gamme de produit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IndiceSal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Indicateur d’évolution du salaire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MarquePdt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marque d’un produit 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NbHeureRea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d’heures effectuées dans les différentes entités de la société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&gt;=0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NbPdtFab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journalier de produits fabriqués par une usine 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after="0" w:before="128.6151123046875" w:line="238.9604902267456" w:lineRule="auto"/>
                  <w:ind w:left="29.642410278320312" w:right="0.933837890625" w:hanging="7.9679870605468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&gt;=0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NbPdtProposés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total de produits proposés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Entier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after="0" w:before="128.6151123046875" w:line="238.9604902267456" w:lineRule="auto"/>
                  <w:ind w:left="29.642410278320312" w:right="0.933837890625" w:hanging="7.9679870605468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&gt;=0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NomDep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 département 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énumération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fabrication, assemblage, RH, expéditions, logistique,  direction, finance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NomE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 employé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NomG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d’une gamme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after="0" w:before="128.6151123046875" w:line="238.9604902267456" w:lineRule="auto"/>
                  <w:ind w:left="29.642410278320312" w:right="0.933837890625" w:hanging="7.9679870605468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Énumération : jardin et piscine, mobilier intérieur, plomberie et chauffage, salle de bain et WC, luminaire, électricité et domotique,  quincaillerie, cuisine, peinture et droguerie, carrelage et parquet, matériaux de construction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NomPdt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 un produit 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NomPV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 point de vente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spacing w:after="0" w:before="128.28125" w:line="245.23263931274414" w:lineRule="auto"/>
                  <w:ind w:left="23.467178344726562" w:right="-4.617919921875" w:firstLine="6.175231933593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NomQ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d’une qualification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NomTypeU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du type de l’usine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widowControl w:val="0"/>
                  <w:spacing w:after="0" w:before="128.28125" w:line="245.23263931274414" w:lineRule="auto"/>
                  <w:ind w:left="23.467178344726562" w:right="-4.617919921875" w:firstLine="6.175231933593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Énumération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Chaine assemblage,  scierie, métallurgie, fonderie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NomU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 d’une usine 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spacing w:after="0" w:before="128.28125" w:line="245.23263931274414" w:lineRule="auto"/>
                  <w:ind w:left="23.467178344726562" w:right="-4.617919921875" w:firstLine="6.17523193359375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PartieRelativeTravail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Réel(monétaire)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NbPdtVendu * PrixTTC * IndiceRetro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PrenomE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prénom d’un employé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PrixTTC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Prix TTC d’un produit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 (monétaire)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 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RueE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et rue de l'adresse de l’employé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RuePV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et rue de l'adresse du point de vente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RueU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et rue de l'adresse de l’usine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Salaire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salaire total d’un employé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Réel(monétaire)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= PartieMensuelFixe + PartieRelativeTravail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SalaireMensuelFixe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Salaire mensuelle fixe de l’employé et évoluant tous les ans 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 (monétaire)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TauxHoraire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taux horaire minimum d’une qualification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Réel (pourcentage)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TelPers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de téléphone personnel de l’employé 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composé de deux parties ( + entier ( 1 à 3 chiffres) et 9 chiffres)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TelProf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de téléphone professionnel de l’employé 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composé de deux parties ( + entier ( 1 à 3 chiffres) et 9 chiffres)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TelPV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de téléphone du point de vente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composé de deux parties ( + entier ( 1 à 3 chiffres) et 9 chiffres)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TelU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numéro de téléphone de l’usine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composé de deux parties ( + entier ( 1 à 3 chiffres) et 9 chiffres)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TypePV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Type de point de vente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 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Énumération : 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GSB—Grandes Surfaces de  Bricolage, ou Brico-Express, magasins de quartier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VilleEmp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Ville de l'adresse de l’employé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VillePV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Ville du point de vente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Texte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Hypothèses pour le dictionnaire de données :</w:t>
      </w:r>
      <w:r w:rsidDel="00000000" w:rsidR="00000000" w:rsidRPr="00000000">
        <w:rPr>
          <w:rtl w:val="0"/>
        </w:rPr>
        <w:br w:type="textWrapping"/>
        <w:t xml:space="preserve">- nous avons mis le code postal en texte au lieu de int pour ne pas avoir par la suite la possibilité d’effectuer des calculs sur les codes postaux.</w:t>
        <w:br w:type="textWrapping"/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Modèle Conceptuel de Données :</w:t>
      </w:r>
    </w:p>
    <w:p w:rsidR="00000000" w:rsidDel="00000000" w:rsidP="00000000" w:rsidRDefault="00000000" w:rsidRPr="00000000" w14:paraId="000000F4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966062" cy="33952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062" cy="339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Hypothèses pour le MCD :</w:t>
      </w:r>
      <w:r w:rsidDel="00000000" w:rsidR="00000000" w:rsidRPr="00000000">
        <w:rPr>
          <w:rtl w:val="0"/>
        </w:rPr>
        <w:br w:type="textWrapping"/>
        <w:t xml:space="preserve"> - Nous sommes partis du principe que des produits n’ont pas forcément besoin d’une usine pour être fabriqué (association réflexive entre produit et produit).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- Nous sommes partis du principe que l’indice de rétrocession est lié à une gamme de produit et un point de vente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MLD : Modèle Logique des Données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Employes (</w:t>
      </w:r>
      <w:r w:rsidDel="00000000" w:rsidR="00000000" w:rsidRPr="00000000">
        <w:rPr>
          <w:u w:val="single"/>
          <w:rtl w:val="0"/>
        </w:rPr>
        <w:t xml:space="preserve">CodeE</w:t>
      </w:r>
      <w:r w:rsidDel="00000000" w:rsidR="00000000" w:rsidRPr="00000000">
        <w:rPr>
          <w:rtl w:val="0"/>
        </w:rPr>
        <w:t xml:space="preserve">, NomE, PrenomE, TelPers, TelProf, RueEmp, CPEmp, VilleEmp)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Qualification (</w:t>
      </w:r>
      <w:r w:rsidDel="00000000" w:rsidR="00000000" w:rsidRPr="00000000">
        <w:rPr>
          <w:u w:val="single"/>
          <w:rtl w:val="0"/>
        </w:rPr>
        <w:t xml:space="preserve">CodeQ</w:t>
      </w:r>
      <w:r w:rsidDel="00000000" w:rsidR="00000000" w:rsidRPr="00000000">
        <w:rPr>
          <w:rtl w:val="0"/>
        </w:rPr>
        <w:t xml:space="preserve">, NomQ, TauxHoraire, CodeQ_Être_completéede#)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Usine (</w:t>
      </w:r>
      <w:r w:rsidDel="00000000" w:rsidR="00000000" w:rsidRPr="00000000">
        <w:rPr>
          <w:u w:val="single"/>
          <w:rtl w:val="0"/>
        </w:rPr>
        <w:t xml:space="preserve">CodeU</w:t>
      </w:r>
      <w:r w:rsidDel="00000000" w:rsidR="00000000" w:rsidRPr="00000000">
        <w:rPr>
          <w:rtl w:val="0"/>
        </w:rPr>
        <w:t xml:space="preserve">, NomU, TelU, RueU, CPUsine, VilleU)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TypeUsine (</w:t>
      </w:r>
      <w:r w:rsidDel="00000000" w:rsidR="00000000" w:rsidRPr="00000000">
        <w:rPr>
          <w:u w:val="single"/>
          <w:rtl w:val="0"/>
        </w:rPr>
        <w:t xml:space="preserve">CodeTypeU</w:t>
      </w:r>
      <w:r w:rsidDel="00000000" w:rsidR="00000000" w:rsidRPr="00000000">
        <w:rPr>
          <w:rtl w:val="0"/>
        </w:rPr>
        <w:t xml:space="preserve">, NomTypeU)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PointDeVente (</w:t>
      </w:r>
      <w:r w:rsidDel="00000000" w:rsidR="00000000" w:rsidRPr="00000000">
        <w:rPr>
          <w:u w:val="single"/>
          <w:rtl w:val="0"/>
        </w:rPr>
        <w:t xml:space="preserve">CodePV</w:t>
      </w:r>
      <w:r w:rsidDel="00000000" w:rsidR="00000000" w:rsidRPr="00000000">
        <w:rPr>
          <w:rtl w:val="0"/>
        </w:rPr>
        <w:t xml:space="preserve">, NomPV, TelPV, TypePV, RuePV, CPostPV, VillePV)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Gamme (</w:t>
      </w:r>
      <w:r w:rsidDel="00000000" w:rsidR="00000000" w:rsidRPr="00000000">
        <w:rPr>
          <w:u w:val="single"/>
          <w:rtl w:val="0"/>
        </w:rPr>
        <w:t xml:space="preserve">CodeG</w:t>
      </w:r>
      <w:r w:rsidDel="00000000" w:rsidR="00000000" w:rsidRPr="00000000">
        <w:rPr>
          <w:rtl w:val="0"/>
        </w:rPr>
        <w:t xml:space="preserve">, NomG)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DepartementUsine (</w:t>
      </w:r>
      <w:r w:rsidDel="00000000" w:rsidR="00000000" w:rsidRPr="00000000">
        <w:rPr>
          <w:u w:val="single"/>
          <w:rtl w:val="0"/>
        </w:rPr>
        <w:t xml:space="preserve">CodeDep</w:t>
      </w:r>
      <w:r w:rsidDel="00000000" w:rsidR="00000000" w:rsidRPr="00000000">
        <w:rPr>
          <w:rtl w:val="0"/>
        </w:rPr>
        <w:t xml:space="preserve">, NomDep, </w:t>
      </w:r>
      <w:r w:rsidDel="00000000" w:rsidR="00000000" w:rsidRPr="00000000">
        <w:rPr>
          <w:rtl w:val="0"/>
        </w:rPr>
        <w:t xml:space="preserve">CodeE#</w:t>
      </w:r>
      <w:r w:rsidDel="00000000" w:rsidR="00000000" w:rsidRPr="00000000">
        <w:rPr>
          <w:rtl w:val="0"/>
        </w:rPr>
        <w:t xml:space="preserve">, Date Directeur)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Produit (</w:t>
      </w:r>
      <w:r w:rsidDel="00000000" w:rsidR="00000000" w:rsidRPr="00000000">
        <w:rPr>
          <w:u w:val="single"/>
          <w:rtl w:val="0"/>
        </w:rPr>
        <w:t xml:space="preserve">CodePdt</w:t>
      </w:r>
      <w:r w:rsidDel="00000000" w:rsidR="00000000" w:rsidRPr="00000000">
        <w:rPr>
          <w:rtl w:val="0"/>
        </w:rPr>
        <w:t xml:space="preserve">, NomPdt, Marque, PrixTTC, CodeG#)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Posseder (</w:t>
      </w:r>
      <w:r w:rsidDel="00000000" w:rsidR="00000000" w:rsidRPr="00000000">
        <w:rPr>
          <w:u w:val="single"/>
          <w:rtl w:val="0"/>
        </w:rPr>
        <w:t xml:space="preserve">CodeE#, CodeQ#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Fabriquer / Assembler 2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CodePdtÊtre_assemblé_de#, CodePdt_Assemblé#</w:t>
      </w:r>
      <w:r w:rsidDel="00000000" w:rsidR="00000000" w:rsidRPr="00000000">
        <w:rPr>
          <w:rtl w:val="0"/>
        </w:rPr>
        <w:t xml:space="preserve">, Qte)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Travailler (</w:t>
      </w:r>
      <w:r w:rsidDel="00000000" w:rsidR="00000000" w:rsidRPr="00000000">
        <w:rPr>
          <w:u w:val="single"/>
          <w:rtl w:val="0"/>
        </w:rPr>
        <w:t xml:space="preserve">CodeE#, CodeDep#, CodePV#, DateT,</w:t>
      </w:r>
      <w:r w:rsidDel="00000000" w:rsidR="00000000" w:rsidRPr="00000000">
        <w:rPr>
          <w:rtl w:val="0"/>
        </w:rPr>
        <w:t xml:space="preserve"> SalaireMensuelFixe, IndiceSal, NbHeureRea)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Appartenir (</w:t>
      </w:r>
      <w:r w:rsidDel="00000000" w:rsidR="00000000" w:rsidRPr="00000000">
        <w:rPr>
          <w:u w:val="single"/>
          <w:rtl w:val="0"/>
        </w:rPr>
        <w:t xml:space="preserve">CodeU#, CodeTypeU#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Avoir (</w:t>
      </w:r>
      <w:r w:rsidDel="00000000" w:rsidR="00000000" w:rsidRPr="00000000">
        <w:rPr>
          <w:u w:val="single"/>
          <w:rtl w:val="0"/>
        </w:rPr>
        <w:t xml:space="preserve">CodeU#, CodeDep#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Autoriser (</w:t>
      </w:r>
      <w:r w:rsidDel="00000000" w:rsidR="00000000" w:rsidRPr="00000000">
        <w:rPr>
          <w:u w:val="single"/>
          <w:rtl w:val="0"/>
        </w:rPr>
        <w:t xml:space="preserve">CodeQ#, CodeDep#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Fabriquer / Assembler 1 (</w:t>
      </w:r>
      <w:r w:rsidDel="00000000" w:rsidR="00000000" w:rsidRPr="00000000">
        <w:rPr>
          <w:u w:val="single"/>
          <w:rtl w:val="0"/>
        </w:rPr>
        <w:t xml:space="preserve">CodeU#, CodePdt#, DatePdtFab,</w:t>
      </w:r>
      <w:r w:rsidDel="00000000" w:rsidR="00000000" w:rsidRPr="00000000">
        <w:rPr>
          <w:rtl w:val="0"/>
        </w:rPr>
        <w:t xml:space="preserve"> NbPdtFab)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Gérer (</w:t>
      </w:r>
      <w:r w:rsidDel="00000000" w:rsidR="00000000" w:rsidRPr="00000000">
        <w:rPr>
          <w:u w:val="single"/>
          <w:rtl w:val="0"/>
        </w:rPr>
        <w:t xml:space="preserve">CodeE#, CodeG#, AnneeR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Contenir (</w:t>
      </w:r>
      <w:r w:rsidDel="00000000" w:rsidR="00000000" w:rsidRPr="00000000">
        <w:rPr>
          <w:u w:val="single"/>
          <w:rtl w:val="0"/>
        </w:rPr>
        <w:t xml:space="preserve">CodePV#, CodeG#, AnneeI</w:t>
      </w:r>
      <w:r w:rsidDel="00000000" w:rsidR="00000000" w:rsidRPr="00000000">
        <w:rPr>
          <w:rtl w:val="0"/>
        </w:rPr>
        <w:t xml:space="preserve">, IndiceRetro)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Vendre (</w:t>
      </w:r>
      <w:r w:rsidDel="00000000" w:rsidR="00000000" w:rsidRPr="00000000">
        <w:rPr>
          <w:u w:val="single"/>
          <w:rtl w:val="0"/>
        </w:rPr>
        <w:t xml:space="preserve">CodeE#, CodePV#, CodePdt#</w:t>
      </w:r>
      <w:r w:rsidDel="00000000" w:rsidR="00000000" w:rsidRPr="00000000">
        <w:rPr>
          <w:rtl w:val="0"/>
        </w:rPr>
        <w:t xml:space="preserve">, NbPdtVendu)</w:t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2C630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2C630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2C630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C630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2C630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2C630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2C630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2C6307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2C6307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2C6307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2C6307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2C6307"/>
    <w:rPr>
      <w:rFonts w:cstheme="majorBidi" w:eastAsiaTheme="majorEastAsia"/>
      <w:color w:val="272727" w:themeColor="text1" w:themeTint="0000D8"/>
    </w:rPr>
  </w:style>
  <w:style w:type="character" w:styleId="TitreCar" w:customStyle="1">
    <w:name w:val="Titre Car"/>
    <w:basedOn w:val="Policepardfaut"/>
    <w:link w:val="Titre"/>
    <w:uiPriority w:val="10"/>
    <w:rsid w:val="002C63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sid w:val="002C630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2C630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2C6307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2C6307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2C6307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2C630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C6307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2C630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+ZYs9XUGjQHgHjuIP9Efcr/k/g==">CgMxLjAaHwoBMBIaChgICVIUChJ0YWJsZS4xOHkyMmRsZXd0ZGQ4AHIhMXRIRm1Yam05blpheGlWNUlyUXdKc2x2Z3VjSlZYTERl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2025-10-28T10:47:00Z</dcterms:created>
  <dc:creator>Mehdi Jesophe Sanchez</dc:creator>
</cp:coreProperties>
</file>