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teste, 25/02/2026</w:t>
      </w:r>
    </w:p>
    <w:p>
      <w:r>
        <w:rPr>
          <w:b/>
          <w:bCs/>
        </w:rPr>
        <w:t xml:space="preserve">À teste</w:t>
      </w:r>
    </w:p>
    <w:p>
      <w:pPr>
        <w:pBdr>
          <w:bottom w:val="single" w:color="auto" w:sz="6" w:space="1"/>
        </w:pBdr>
        <w:spacing w:after="240" w:before="240"/>
        <w:jc w:val="center"/>
      </w:pPr>
      <w:r>
        <w:rPr>
          <w:b/>
          <w:bCs/>
        </w:rPr>
        <w:t xml:space="preserve">CONTRARRAZÕES AO RECURSO</w:t>
      </w:r>
    </w:p>
    <w:p>
      <w:pPr>
        <w:pStyle w:val="Heading2"/>
        <w:spacing w:after="120" w:before="240"/>
      </w:pPr>
      <w:r>
        <w:rPr>
          <w:b/>
          <w:bCs/>
        </w:rPr>
        <w:t xml:space="preserve">I – DA IDENTIFICAÇÃO</w:t>
      </w:r>
    </w:p>
    <w:p>
      <w:r>
        <w:t xml:space="preserve">Empresa: Limvex (Sistema)</w:t>
      </w:r>
    </w:p>
    <w:p>
      <w:r>
        <w:t xml:space="preserve">CNPJ: 63.996.570/0001-01</w:t>
      </w:r>
    </w:p>
    <w:p>
      <w:r>
        <w:t xml:space="preserve">Endereço: Não informado</w:t>
      </w:r>
    </w:p>
    <w:p>
      <w:pPr>
        <w:pStyle w:val="Heading2"/>
        <w:spacing w:after="120" w:before="240"/>
      </w:pPr>
      <w:r>
        <w:rPr>
          <w:b/>
          <w:bCs/>
        </w:rPr>
        <w:t xml:space="preserve">II – DO OBJETO</w:t>
      </w:r>
    </w:p>
    <w:p>
      <w:r>
        <w:t xml:space="preserve">Refere-se ao processo licitatório "teste" do órgão teste.</w:t>
      </w:r>
    </w:p>
    <w:p>
      <w:pPr>
        <w:pStyle w:val="Heading2"/>
        <w:spacing w:after="120" w:before="240"/>
      </w:pPr>
      <w:r>
        <w:rPr>
          <w:b/>
          <w:bCs/>
        </w:rPr>
        <w:t xml:space="preserve">III – DAS CONTRARRAZÕES</w:t>
      </w:r>
    </w:p>
    <w:p>
      <w:r>
        <w:t xml:space="preserve">O recurso interposto não merece prosperar, pois a decisão da Comissão foi devidamente fundamentada e observou todos os requisitos editalícios, não havendo qualquer irregularidade a ser sanada.</w:t>
      </w:r>
    </w:p>
    <w:p>
      <w:pPr>
        <w:pStyle w:val="Heading2"/>
        <w:spacing w:after="120" w:before="240"/>
      </w:pPr>
      <w:r>
        <w:rPr>
          <w:b/>
          <w:bCs/>
        </w:rPr>
        <w:t xml:space="preserve">IV – DO PEDIDO</w:t>
      </w:r>
    </w:p>
    <w:p>
      <w:r>
        <w:t xml:space="preserve">Diante dos fundamentos apresentados, requer-se a manutenção da decisão administrativa anteriormente proferida.</w:t>
      </w:r>
    </w:p>
    <w:p/>
    <w:p>
      <w:r>
        <w:t xml:space="preserve">teste, 25/02/2026</w:t>
      </w:r>
    </w:p>
    <w:p>
      <w:pPr>
        <w:spacing w:before="240"/>
      </w:pPr>
      <w:r>
        <w:rPr>
          <w:b/>
          <w:bCs/>
        </w:rPr>
        <w:t xml:space="preserve">Limvex (Sistema)</w:t>
      </w:r>
    </w:p>
    <w:p>
      <w:r>
        <w:t xml:space="preserve">Assinatura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2026-02-25T18:57:48.150Z</dcterms:created>
  <dcterms:modified xsi:type="dcterms:W3CDTF">2026-02-25T18:57:48.150Z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