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BAB8819"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F45528">
              <w:rPr>
                <w:rFonts w:ascii="Times New Roman" w:eastAsia="仿宋" w:hAnsi="Times New Roman"/>
                <w:sz w:val="24"/>
                <w:szCs w:val="24"/>
              </w:rPr>
              <w:t>6</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F14B2F">
              <w:rPr>
                <w:rFonts w:ascii="Times New Roman" w:eastAsia="仿宋" w:hAnsi="Times New Roman"/>
                <w:sz w:val="24"/>
                <w:szCs w:val="24"/>
              </w:rPr>
              <w:t>10</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F45528">
              <w:rPr>
                <w:rFonts w:ascii="Times New Roman" w:eastAsia="仿宋" w:hAnsi="Times New Roman" w:hint="eastAsia"/>
                <w:sz w:val="24"/>
                <w:szCs w:val="24"/>
              </w:rPr>
              <w:t>8</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B4B9B0D" w14:textId="5EB86F41"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15, 33. </w:t>
            </w:r>
            <w:r w:rsidRPr="003A44C0">
              <w:rPr>
                <w:rFonts w:ascii="Times New Roman" w:eastAsia="仿宋" w:hAnsi="Times New Roman"/>
                <w:sz w:val="24"/>
                <w:szCs w:val="24"/>
              </w:rPr>
              <w:t>https://doi.org/</w:t>
            </w:r>
            <w:r w:rsidRPr="00427E63">
              <w:rPr>
                <w:rFonts w:ascii="Times New Roman" w:eastAsia="仿宋" w:hAnsi="Times New Roman"/>
                <w:sz w:val="24"/>
                <w:szCs w:val="24"/>
              </w:rPr>
              <w:t>10.3390/app15010033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29C82081"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25310B">
              <w:rPr>
                <w:rFonts w:ascii="Times New Roman" w:eastAsia="仿宋" w:hAnsi="Times New Roman" w:hint="eastAsia"/>
                <w:color w:val="0070C0"/>
                <w:sz w:val="24"/>
                <w:szCs w:val="24"/>
              </w:rPr>
              <w:t>已投稿</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42161530" w14:textId="73B73E70"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1B6FB8A9" w14:textId="2362E14E"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A171D8" w:rsidRPr="00A171D8">
              <w:rPr>
                <w:rFonts w:ascii="Times New Roman" w:eastAsia="仿宋" w:hAnsi="Times New Roman"/>
                <w:sz w:val="24"/>
                <w:szCs w:val="24"/>
              </w:rPr>
              <w:t>Dynamic deformation response of segment and interaction mechanisms of continuous construction in large-diameter shield tunnel: Analysis from multiple cases</w:t>
            </w:r>
            <w:r w:rsidR="00EC56FC">
              <w:rPr>
                <w:rFonts w:ascii="Times New Roman" w:eastAsia="仿宋" w:hAnsi="Times New Roman"/>
                <w:sz w:val="24"/>
                <w:szCs w:val="24"/>
              </w:rPr>
              <w:t xml:space="preserve">. </w:t>
            </w:r>
            <w:r w:rsidR="00EC56FC" w:rsidRPr="00EC56FC">
              <w:rPr>
                <w:rFonts w:ascii="Times New Roman" w:eastAsia="仿宋" w:hAnsi="Times New Roman"/>
                <w:sz w:val="24"/>
                <w:szCs w:val="24"/>
              </w:rPr>
              <w:t>Engineering Failure Analysis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中科院一区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3BE4E107"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77578" w14:textId="77777777" w:rsidR="00EE1298" w:rsidRDefault="00EE1298" w:rsidP="000F2CC4">
      <w:r>
        <w:separator/>
      </w:r>
    </w:p>
  </w:endnote>
  <w:endnote w:type="continuationSeparator" w:id="0">
    <w:p w14:paraId="0A52F657" w14:textId="77777777" w:rsidR="00EE1298" w:rsidRDefault="00EE1298"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8CE59" w14:textId="77777777" w:rsidR="00EE1298" w:rsidRDefault="00EE1298" w:rsidP="000F2CC4">
      <w:r>
        <w:separator/>
      </w:r>
    </w:p>
  </w:footnote>
  <w:footnote w:type="continuationSeparator" w:id="0">
    <w:p w14:paraId="75127EB6" w14:textId="77777777" w:rsidR="00EE1298" w:rsidRDefault="00EE1298"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GoBQC9zcCC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70EC"/>
    <w:rsid w:val="00F37798"/>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TotalTime>
  <Pages>5</Pages>
  <Words>1486</Words>
  <Characters>8471</Characters>
  <Application>Microsoft Office Word</Application>
  <DocSecurity>0</DocSecurity>
  <Lines>70</Lines>
  <Paragraphs>19</Paragraphs>
  <ScaleCrop>false</ScaleCrop>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115</cp:revision>
  <cp:lastPrinted>2024-11-24T04:50:00Z</cp:lastPrinted>
  <dcterms:created xsi:type="dcterms:W3CDTF">2023-03-15T15:20:00Z</dcterms:created>
  <dcterms:modified xsi:type="dcterms:W3CDTF">2025-04-28T15:02:00Z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