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2E0AFD1B" w14:textId="3D0E0210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60604FF3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990F78" w:rsidRPr="00990F78">
              <w:rPr>
                <w:rFonts w:ascii="Times New Roman" w:eastAsia="仿宋" w:hAnsi="Times New Roman"/>
                <w:sz w:val="24"/>
                <w:szCs w:val="24"/>
              </w:rPr>
              <w:t>Structural geometry-informed 3D deep learning for segmental tunnel lining analysis in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3D1D7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A</w:t>
            </w:r>
            <w:r w:rsidR="003D1D7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cce</w:t>
            </w:r>
            <w:r w:rsidR="003D1D7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3850F59E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Dynamic deformation response of segment and interaction mechanisms of continuous construction in large-diameter shield tunnel: Analysis from multiple cases. Engineering Failure Analysis.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lastRenderedPageBreak/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7A4702F" w14:textId="073B9568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BC07F1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681D5C70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0A358C">
              <w:rPr>
                <w:rFonts w:ascii="Times New Roman" w:eastAsia="仿宋" w:hAnsi="Times New Roman"/>
                <w:sz w:val="24"/>
                <w:szCs w:val="24"/>
              </w:rPr>
              <w:t>8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D7E0" w14:textId="77777777" w:rsidR="007830BB" w:rsidRDefault="007830BB" w:rsidP="000F2CC4">
      <w:r>
        <w:separator/>
      </w:r>
    </w:p>
  </w:endnote>
  <w:endnote w:type="continuationSeparator" w:id="0">
    <w:p w14:paraId="27580A54" w14:textId="77777777" w:rsidR="007830BB" w:rsidRDefault="007830BB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8EE9" w14:textId="77777777" w:rsidR="007830BB" w:rsidRDefault="007830BB" w:rsidP="000F2CC4">
      <w:r>
        <w:separator/>
      </w:r>
    </w:p>
  </w:footnote>
  <w:footnote w:type="continuationSeparator" w:id="0">
    <w:p w14:paraId="2657F254" w14:textId="77777777" w:rsidR="007830BB" w:rsidRDefault="007830BB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aqBQCyM2B9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5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1545</cp:revision>
  <cp:lastPrinted>2024-11-03T03:54:00Z</cp:lastPrinted>
  <dcterms:created xsi:type="dcterms:W3CDTF">2023-03-15T15:20:00Z</dcterms:created>
  <dcterms:modified xsi:type="dcterms:W3CDTF">2025-05-10T00:08:00Z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