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B75F7AD" w14:textId="0DB7466C" w:rsidR="00960A82" w:rsidRPr="00960A82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(2024).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B78804B" w:rsidR="00CC21FF" w:rsidRPr="000E076A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044E0144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0465F2D4" w14:textId="5D6D760B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845803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2BAFF3" w14:textId="40BB04CA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="00E0109D" w:rsidRPr="000C2AF6">
              <w:rPr>
                <w:rFonts w:ascii="Times New Roman" w:eastAsia="仿宋" w:hAnsi="Times New Roman"/>
                <w:sz w:val="24"/>
                <w:szCs w:val="24"/>
              </w:rPr>
              <w:t>改进标签编码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</w:t>
            </w:r>
            <w:r w:rsidR="00E0109D"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56A1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656A1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Revealing high-fidelity and present-day geometry of segmental linings by AI, 11th International 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3E273E81" w14:textId="1C98D941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surement, 1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</w:p>
          <w:p w14:paraId="2AAD6625" w14:textId="14DEB089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omation in Construction, 1 review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681D5C70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0A358C">
              <w:rPr>
                <w:rFonts w:ascii="Times New Roman" w:eastAsia="仿宋" w:hAnsi="Times New Roman"/>
                <w:sz w:val="24"/>
                <w:szCs w:val="24"/>
              </w:rPr>
              <w:t>8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D8CF8" w14:textId="77777777" w:rsidR="00AB4B97" w:rsidRDefault="00AB4B97" w:rsidP="000F2CC4">
      <w:r>
        <w:separator/>
      </w:r>
    </w:p>
  </w:endnote>
  <w:endnote w:type="continuationSeparator" w:id="0">
    <w:p w14:paraId="7591A264" w14:textId="77777777" w:rsidR="00AB4B97" w:rsidRDefault="00AB4B97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19ADA" w14:textId="77777777" w:rsidR="00AB4B97" w:rsidRDefault="00AB4B97" w:rsidP="000F2CC4">
      <w:r>
        <w:separator/>
      </w:r>
    </w:p>
  </w:footnote>
  <w:footnote w:type="continuationSeparator" w:id="0">
    <w:p w14:paraId="4E931504" w14:textId="77777777" w:rsidR="00AB4B97" w:rsidRDefault="00AB4B97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KuBQDEaLll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5A7E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4</Pages>
  <Words>1638</Words>
  <Characters>9340</Characters>
  <Application>Microsoft Office Word</Application>
  <DocSecurity>0</DocSecurity>
  <Lines>77</Lines>
  <Paragraphs>21</Paragraphs>
  <ScaleCrop>false</ScaleCrop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1531</cp:revision>
  <cp:lastPrinted>2024-11-03T03:54:00Z</cp:lastPrinted>
  <dcterms:created xsi:type="dcterms:W3CDTF">2023-03-15T15:20:00Z</dcterms:created>
  <dcterms:modified xsi:type="dcterms:W3CDTF">2025-04-02T05:05:00Z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