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0A194898" w14:textId="1E5225F4" w:rsidR="00981998" w:rsidRPr="00AF6C7D" w:rsidRDefault="00981998" w:rsidP="0098199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164, 106859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98199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https://doi.org/10.1016/j.tust.2025.106859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6F8F844" w14:textId="409EA70B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085F22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3D48D702" w14:textId="6D0BFB4C" w:rsidR="00994E57" w:rsidRPr="000D680B" w:rsidRDefault="00994E57" w:rsidP="00994E5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</w:t>
            </w:r>
            <w:r w:rsidRPr="00554FFF">
              <w:rPr>
                <w:rFonts w:ascii="Times New Roman" w:eastAsia="仿宋" w:hAnsi="Times New Roman"/>
                <w:sz w:val="24"/>
                <w:szCs w:val="24"/>
              </w:rPr>
              <w:t>3D multimodal feature for infrastructure anomaly detection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 Automation in Construction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178, </w:t>
            </w:r>
            <w:r w:rsidRPr="00572029">
              <w:rPr>
                <w:rFonts w:ascii="Times New Roman" w:eastAsia="仿宋" w:hAnsi="Times New Roman"/>
                <w:sz w:val="24"/>
                <w:szCs w:val="24"/>
              </w:rPr>
              <w:t>106388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94E57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https://doi.org/10.1016/j.autcon.2025.106388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4E0DBAD9" w14:textId="77777777" w:rsidR="00DF7548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D75F0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林威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唐亘跻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一种用于隧道三维点云智能处理的神经网络构建装置及方法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 (Patent CN202510484006.9).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FC6008D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2025).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 CN202411358578.4)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A102CBD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(Patent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CN202211150097.5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99130E5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20D79B1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CN201720597493.0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A022D20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56D779AB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Advanced Engineering Informatics, 1 review</w:t>
            </w:r>
          </w:p>
          <w:p w14:paraId="27A4702F" w14:textId="45257A45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077634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5FBBCF18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F10EA3">
              <w:rPr>
                <w:rFonts w:ascii="Times New Roman" w:eastAsia="仿宋" w:hAnsi="Times New Roman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ABB7B66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0579E41B" w14:textId="3F0B4B36" w:rsidR="00FE1951" w:rsidRPr="00FE1951" w:rsidRDefault="00FE1951" w:rsidP="00FE195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</w:t>
            </w:r>
            <w:r w:rsidRPr="00054467">
              <w:rPr>
                <w:rFonts w:ascii="Times New Roman" w:eastAsia="仿宋" w:hAnsi="Times New Roman"/>
                <w:sz w:val="24"/>
                <w:szCs w:val="24"/>
              </w:rPr>
              <w:t>5200-202417104A-1-1-ZN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61EA2" w14:textId="77777777" w:rsidR="00EE4200" w:rsidRDefault="00EE4200" w:rsidP="000F2CC4">
      <w:r>
        <w:separator/>
      </w:r>
    </w:p>
  </w:endnote>
  <w:endnote w:type="continuationSeparator" w:id="0">
    <w:p w14:paraId="2B47C830" w14:textId="77777777" w:rsidR="00EE4200" w:rsidRDefault="00EE4200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A4BBB" w14:textId="77777777" w:rsidR="00EE4200" w:rsidRDefault="00EE4200" w:rsidP="000F2CC4">
      <w:r>
        <w:separator/>
      </w:r>
    </w:p>
  </w:footnote>
  <w:footnote w:type="continuationSeparator" w:id="0">
    <w:p w14:paraId="50F8E959" w14:textId="77777777" w:rsidR="00EE4200" w:rsidRDefault="00EE4200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WsBQDDHMBS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332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709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07B46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4FFF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68E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2B9E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228D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1998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4E57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26A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2A3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DF7548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D7EA2"/>
    <w:rsid w:val="00EE122E"/>
    <w:rsid w:val="00EE27A1"/>
    <w:rsid w:val="00EE3D31"/>
    <w:rsid w:val="00EE4200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19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5</Pages>
  <Words>1870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1585</cp:revision>
  <cp:lastPrinted>2024-11-03T03:54:00Z</cp:lastPrinted>
  <dcterms:created xsi:type="dcterms:W3CDTF">2023-03-15T15:20:00Z</dcterms:created>
  <dcterms:modified xsi:type="dcterms:W3CDTF">2025-07-20T01:05:00Z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