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120" w:line="360" w:lineRule="auto"/>
        <w:jc w:val="center"/>
      </w:pPr>
      <w:r>
        <w:rPr>
          <w:rFonts w:ascii="Times New Roman" w:hAnsi="Times New Roman"/>
          <w:b/>
          <w:sz w:val="40"/>
        </w:rPr>
        <w:t>ПАСПОРТ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/>
          <w:sz w:val="32"/>
        </w:rPr>
        <w:t>ЦЕЛЕВОЙ ПОТРЕБИТЕЛЬСКОЙ ПРОГРАММЫ</w:t>
      </w:r>
    </w:p>
    <w:p>
      <w:pPr>
        <w:spacing w:after="480" w:line="360" w:lineRule="auto"/>
        <w:jc w:val="center"/>
      </w:pPr>
      <w:r>
        <w:rPr>
          <w:rFonts w:ascii="Times New Roman" w:hAnsi="Times New Roman"/>
          <w:b/>
          <w:sz w:val="28"/>
        </w:rPr>
        <w:t>«Модульный дом с земельным участком»</w:t>
      </w:r>
    </w:p>
    <w:p>
      <w:pPr>
        <w:spacing w:after="40" w:line="360" w:lineRule="auto"/>
        <w:jc w:val="center"/>
      </w:pPr>
      <w:r>
        <w:rPr>
          <w:rFonts w:ascii="Times New Roman" w:hAnsi="Times New Roman"/>
          <w:b w:val="0"/>
          <w:sz w:val="26"/>
        </w:rPr>
        <w:t>Потребительский кооператив</w:t>
      </w:r>
    </w:p>
    <w:p>
      <w:pPr>
        <w:spacing w:after="480" w:line="360" w:lineRule="auto"/>
        <w:jc w:val="center"/>
      </w:pPr>
      <w:r>
        <w:rPr>
          <w:rFonts w:ascii="Times New Roman" w:hAnsi="Times New Roman"/>
          <w:b w:val="0"/>
          <w:sz w:val="26"/>
        </w:rPr>
        <w:t>по реализации инициатив пайщиков «Алтай»</w:t>
      </w:r>
    </w:p>
    <w:p>
      <w:pPr>
        <w:spacing w:after="480" w:line="360" w:lineRule="auto"/>
        <w:jc w:val="center"/>
      </w:pPr>
      <w:r>
        <w:rPr>
          <w:rFonts w:ascii="Times New Roman" w:hAnsi="Times New Roman"/>
          <w:b w:val="0"/>
          <w:sz w:val="22"/>
        </w:rPr>
        <w:t>Редакция 4.0</w:t>
      </w:r>
    </w:p>
    <w:p>
      <w:pPr>
        <w:spacing w:after="40" w:line="360" w:lineRule="auto"/>
        <w:jc w:val="center"/>
      </w:pPr>
      <w:r>
        <w:rPr>
          <w:rFonts w:ascii="Times New Roman" w:hAnsi="Times New Roman"/>
          <w:b w:val="0"/>
          <w:sz w:val="24"/>
        </w:rPr>
        <w:t>г. Людиново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4"/>
        </w:rPr>
        <w:t>2026 г.</w:t>
      </w:r>
    </w:p>
    <w:p>
      <w:r>
        <w:br w:type="page"/>
      </w:r>
    </w:p>
    <w:p>
      <w:pPr>
        <w:spacing w:after="360" w:line="360" w:lineRule="auto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1. Общие положения, правовая природа и кооперативные принципы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2. Цели и механизм удовлетворения потребности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3. Участники Программы и порядок вступления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4. Имущество Программы, раздельный учёт и реестры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5. Целевые паевые взносы и финансирование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6. Ориентировочные этапы реализации Программы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7. Порядок очередности распределения результатов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8. Выбор, замена подрядчиков и изменение проекта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9. Конфликт интересов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10. Информирование участников, отчётность и фотофиксация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11. Изменение параметров объекта, формирование цены и замена участка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12. Контроль Программы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13. Страхование рисков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14. Приостановка и возобновление Программы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15. Экономия Программы и кооперативные выплаты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16. Порядок завершения участия и возврат средств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17. Исключение участника из Программы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18. Изменение бюджета и дополнительные взносы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19. Форс-мажор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20. Прекращение Программы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21. Риски и ответственность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22. Архив документов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Раздел 23. Заключительные положения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Приложение №1. Плановый бюджет Программы</w:t>
      </w:r>
    </w:p>
    <w:p>
      <w:pPr>
        <w:spacing w:line="336" w:lineRule="auto" w:after="40"/>
        <w:jc w:val="left"/>
      </w:pPr>
      <w:r>
        <w:rPr>
          <w:rFonts w:ascii="Times New Roman" w:hAnsi="Times New Roman"/>
          <w:sz w:val="22"/>
        </w:rPr>
        <w:t>Приложение №2. Пример расчёта экономии Программы</w:t>
      </w:r>
    </w:p>
    <w:p>
      <w:r>
        <w:br w:type="page"/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1. Общие положения, правовая природа и кооперативные принципы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1.1. Настоящий Паспорт целевой потребительской программы «Модульный дом с земельным участком» (далее — Программа) разработан в соответствии с Гражданским кодексом Российской Федерации (статьи 123.1–123.3), Законом Российской Федерации от 19.06.1992 № 3085-1 «О потребительской кооперации (потребительских обществах, союзах) в Российской Федерации» (с изменениями от 01.09.2024), Уставом Потребительского кооператива по реализации инициатив пайщиков «Алтай» (далее — Кооператив) и Положением о целевых потребительских программах Кооператива.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1.2. Настоящий Паспорт определяет механизм удовлетворения имущественной потребности пайщиков Кооператива путём организации создания имущественного объекта и его предоставления участникам Программы.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1.3. Кооператив действует как организатор реализации общей имущественной потребности участников. Все имущественные решения принимаются в интересах пайщиков, а не в интересах получения дохода Кооперативом.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1.4. Кооперативные принципы Программы: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1.4.1. Отсутствие цели извлечения прибыли. Все действия Кооператива совершаются исключительно в интересах участников Программы и не преследуют цели извлечения прибыли Кооперативом.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1.4.2. Добровольность участия. Участие в Программе является добровольным. Участник самостоятельно определяет: размер участия, параметры имущественного объекта, продолжение участия, выход из Программы.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1.4.3. Самоуправление. Ключевые решения по Программе принимаются органами управления Кооператива: Общим собранием пайщиков, Советом, Правлением — в пределах их компетенции, установленной Уставом.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1.4.4. Прозрачность. Кооператив обеспечивает доступ участников к информации о ходе реализации Программы, расходовании средств и состоянии имущества Программы.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1.4.5. Равенство. Каждый участник имеет один голос на Общем собрании независимо от размера целевого паевого взноса.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1.5. Правовая природа. Программа не является договором строительства, купли-продажи, аренды, инвестирования или займа. Кооператив самостоятельно не осуществляет строительство, изготовление или продажу объектов недвижимости. Кооператив организует удовлетворение потребностей пайщиков путём заключения договоров с третьими лицами в интересах реализации Программы.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1.6. Программа утверждается Общим собранием пайщиков квалифицированным большинством голосов и действует до полного завершения расчётов со всеми участниками либо до её досрочного прекращения.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1.7. Термины и определения: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• участник Программы — пайщик, подавший заявление, внёсший целевой паевой взнос и включённый в реестр;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• целевой паевой взнос — часть паевого взноса, направляемая на финансирование Программы;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• имущественный объект — результат реализации Программы (земельный участок или право на него, модульный дом);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• плановая стоимость — ориентировочная стоимость реализации Программы, определяемая на основе коммерческих предложений;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• окончательная стоимость — фактические расходы Кооператива на создание объекта и организацию Программы по итогам финального отчёта;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• экономия Программы — остаток средств Программы после исполнения всех обязательств и покрытия окончательной стоимости;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• имущество Программы — денежные средства, объекты и обязательства, учитываемые отдельно;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• кооперативная выплата — использование экономии Программы по решению Общего собрания.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2. Цели и механизм удовлетворения потребности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2.1. Цель Программы — удовлетворение имущественной потребности участников путём организации создания имущественного объекта на кооперативных принципах, без цели извлечения прибыли.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2.2. Механизм удовлетворения потребности. Кооператив организует удовлетворение имущественной потребности участника посредством: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1) объединения целевых паевых взносов участников;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2) подбора и оформления прав на земельный участок;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3) организации изготовления, доставки и монтажа модульного дома через подрядчиков;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4) правового, бухгалтерского и технического сопровождения;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5) предоставления результата участнику либо иного способа завершения участия.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2.3. Результатом реализации Программы является удовлетворение имущественной потребности участника посредством получения имущественного объекта либо иного способа завершения участия (возврат средств, новация, кооперативная выплата).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2.4. Экономия Программы (если она образуется) не гарантируется и зависит от фактических расходов, рыночной ситуации и условий реализации Программы.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3. Участники Программы и порядок вступления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3.1. Участниками могут быть пайщики Кооператива, достигшие 18 лет, подавшие заявление и внесшие целевой паевой взнос.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3.2. Минимум — 3 участника, максимум — 20 (может быть изменён Общим собранием).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3.3. Реестр участников ведёт Правление. Реестр содержит: ФИО, паспортные данные, дату вступления, размер и дату взноса, форму получения результата, параметры объекта, статус участия.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3.4. Заявление рассматривается Советом в срок не более 30 календарных дней.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4. Имущество Программы, раздельный учёт и реестры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4.1. Имущество Программы образуется за счёт целевых паевых взносов участников, заёмных средств (в порядке статьи 23 Устава) и иных источников, не запрещённых законодательством.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4.2. Имущество, приобретённое в рамках Программы, учитывается отдельно от имущества Кооператива, не связанного с Программой.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4.3. Кооператив ведёт раздельный учёт доходов, расходов и обязательств по Программе. Раздельный учёт включает: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1) отдельный субсчёт для учёта целевых паевых взносов;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2) отдельный субсчёт для учёта расходов;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3) отдельный субсчёт для учёта имущества Программы;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4) аналитический учёт по каждому участнику (лицевой счёт).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4.4. Средства Программы не смешиваются со средствами других программ. Расходование на цели, не связанные с Программой, не допускается.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4.5. Правление ведёт следующие реестры: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• реестр участников Программы;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• реестр объектов (земельные участки, дома, материалы);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• реестр подрядчиков и контрагентов;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• реестр расходов Программы (с первичными документами).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4.6. Каждый участник вправе получить выписку из лицевого счёта в срок не более 10 рабочих дней. Участник вправе ознакомиться с первичными документами, подтверждающими расходы Программы, если это не нарушает права третьих лиц (коммерческую тайну подрядчиков).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5. Целевые паевые взносы и финансирование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5.1. Размер целевых паевых взносов определяется исходя из плановой стоимости реализации Программы (Приложение №1). Окончательная стоимость определяется фактическими расходами Кооператива по итогам финального отчёта.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5.2. Минимальный размер целевого паевого взноса — 100 000 рублей. Рекомендуемый — 300 000 рублей. Окончательный размер определяется параметрами объекта, бюджетом Программы и решением участника о форме получения результата.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5.3. Порядок внесения: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1) первый взнос — не менее 30% — в течение 14 дней с даты включения в реестр;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2) второй взнос — не менее 30% — после оформления прав на участок;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3) третий взнос — оставшаяся часть — после договоров с подрядчиками.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5.4. Целевой паевой взнос является частью паевого взноса пайщика (п. 7.6 Устава) и учитывается раздельно.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6. Ориентировочные этапы реализации Программы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6.1. Этапы являются ориентировочными. Детальный график по каждому этапу утверждается Правлением отдельно и может корректироваться.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6.2. Ориентировочные этапы: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Этап 1. Подготовка (3 мес.): заявления, реестр, взносы, подбор участков, переговоры.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Этап 2. Оформление (3–6 мес.): права на участок, параметры объекта, договоры.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Этап 3. Создание (6–12 мес.): изготовление, доставка, монтаж, коммуникации.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Этап 4. Завершение (после 12 мес.): предоставление результата, отчёт, расчёты.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6.3. Общий ориентировочный срок — 18 месяцев. Не является обязательным, может быть продлён Общим собранием.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7. Порядок очередности распределения результатов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7.1. При превышении количества участников над количеством одновременно создаваемых объектов применяется очередность.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7.2. Очередность определяется по дате и времени полного внесения целевого паевого взноса. При совпадении даты и времени внесения — проводится жеребьёвка в присутствии участников с равной очередью, оформляемая протоколом.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7.3. Правление ведёт реестр очередности, обновляемый при каждом изменении и публикуемый в информационной системе Кооператива.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7.4. Участник вправе отказаться от очереди с переходом в конец (письменное заявление).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7.5. Порядок может быть изменён Общим собранием квалифицированным большинством.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8. Выбор, замена подрядчиков и изменение проекта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8.1. Правление выбирает подрядчиков на основании анализа не менее трёх коммерческих предложений либо с обоснованием невозможности такого сравнения.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8.2. Результаты выбора оформляются протоколом Правления с указанием: наименования, предмета, стоимости, срока, обоснования выбора.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8.3. Договоры свыше 10% активов — одобряются Советом. Свыше 25% — Общим собранием как крупные сделки.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8.4. Замена подрядчика. При нарушении сроков или качества работ Правление: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1) направляет подрядчику уведомление о нарушении и требование устранить;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2) при неисполнении — расторгает договор с возмещением убытков;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3) проводит повторный отбор в порядке п. 8.1;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4) уведомляет участников в течение 5 рабочих дней;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5) публикует новый протокол выбора подрядчика.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8.5. Изменение проекта модульного дома. Если производитель прекратил выпуск модели или изменил характеристики, Правление: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1) уведомляет участников в течение 5 рабочих дней;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2) предлагает альтернативные модели с сопоставимыми или лучшими характеристиками;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3) при согласии участников — заключает договор на альтернативную модель;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4) при несогласии — ставит вопрос о приостановке Программы (раздел 14).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9. Конфликт интересов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9.1. Лицо, заинтересованное в сделке с подрядчиком (член Совета, Председатель, их супруги, родственники, аффилированные лица), обязано раскрыть информацию до совершения сделки.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9.2. Сделка с заинтересованностью одобряется Советом (до 10% активов) или Общим собранием (свыше 10%).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9.3. Сделка с нарушением может быть признана недействительной.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9.4. Председатель Правления и члены Совета не вправе выступать подрядчиками по Программе без одобрения Общего собрания.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10. Информирование участников, отчётность и фотофиксация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10.1. Правление обеспечивает ежемесячное информирование участников о статусе Программы через личный кабинет на веб-сайте Кооператива.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10.2. Ежемесячный статус включает: текущий этап, выполненные работы, фактические расходы за период, остаток средств Программы, планы на следующий период.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10.3. Фотофиксация. Этапы создания имущественного объекта фиксируются фото- и видеоматериалами. Материалы размещаются в личном кабинете не позднее 5 рабочих дней после завершения этапа.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10.4. Ежеквартальный отчёт — Совету. Годовой отчёт — Общему собранию. Финальный отчёт — Общему собранию для утверждения.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10.5. Каждый участник вправе ознакомиться с первичными документами, подтверждающими расходы Программы, если это не нарушает права третьих лиц.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10.6. Информация размещается в личном кабинете участника и доступна в течение всего срока реализации Программы.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11. Изменение параметров объекта, формирование цены и замена участка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11.1. Участник вправе инициировать изменение параметров (площадь, комплектация, регион) письменным заявлением в Правление.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11.2. Формирование цены при изменении параметров. При изменении параметров объекта стоимость рассчитывается на основании: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1) коммерческого предложения производителя модульного дома на выбранную модель;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2) сметы подрядчика на дополнительные работы (фундамент, коммуникации, благоустройство);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3) кадастровой стоимости земельного участка (при замене участка).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Разница между плановой и новой стоимостью оплачивается участником как доплата или компенсируется соразмерным уменьшением результата — по соглашению сторон.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11.3. Правление рассматривает заявление в срок 15 рабочих дней. Изменение допускается, если: технически реализуемо, участник вносит доплату или соглашается на уменьшение, не нарушает права других участников.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11.4. Замена участка. Если участок оказался непригодным (обременения, споры, отказ администрации), Правление: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1) уведомляет участников в течение 5 рабочих дней;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2) инициирует подбор альтернативного участка;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3) при невозможности — ставит вопрос о приостановке (раздел 14).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11.5. Замена оформляется решением Правления с уведомлением всех участников.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12. Контроль Программы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12.1. Участники Программы имеют право на контроль за её реализацией, включающее: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1) знакомиться с документами Программы (заявления, договоры, сметы, акты, протоколы, первичные документы) в порядке статьи 6 Устава;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2) требовать у Правления внеочередной отчёт о состоянии Программы — не более одного раза в квартал;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3) инициировать проверку через Ревизионную комиссию Кооператива при наличии обоснованных подозрений в нецелевом расходовании средств;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4) привлекать независимого аудитора за счёт собственных средств или за счёт средств Программы (по решению Общего собрания);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5) проводить осмотр имущественного объекта на этапе создания — по согласованию с Правлением и подрядчиком.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12.2. Ревизионная комиссия Кооператива проверяет финансово-хозяйственную деятельность по Программе не реже одного раза в год.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12.3. Результаты проверки Ревизионной комиссии или независимого аудитора представляются Общему собранию пайщиков.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13. Страхование рисков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13.1. Правление Кооператива вправе страховать: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1) имущество Программы на этапе создания;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2) строительно-монтажные риски;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3) гражданскую ответственность подрядчиков перед Кооперативом.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13.2. Решение о страховании принимается Правлением. Расходы на страхование относятся на фактические расходы Программы.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13.3. Страхование не является обязательным, но рекомендуется. При принятии решения о страховании Правление уведомляет участников.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14. Приостановка и возобновление Программы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14.1. Программа может быть приостановлена решением Правления в случаях: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1) недостаточного сбора взносов;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2) существенного роста стоимости (более 15%);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3) действий органов власти;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4) форс-мажора (раздел 19);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5) невозможности замены участка или подрядчика;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6) иных объективных препятствий.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14.2. При приостановке Правление: уведомляет участников в 10 рабочих дней с указанием причин и срока; обеспечивает сохранность имущества; разрабатывает план возобновления или прекращения.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14.3. Возобновление — решением Правления. Если приостановка более 6 месяцев — вопрос на Общее собрание о прекращении.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14.4. В период приостановки участник вправе выйти из Программы с возвратом средств (раздел 16).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15. Экономия Программы и кооперативные выплаты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15.1. После завершения Программы Правление определяет окончательную стоимость реализации Программы на основании первичных документов и составляет финальный отчёт.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15.2. Если после исполнения всех обязательств и покрытия окончательной стоимости образовалась экономия Программы (остаток неиспользованных средств), Общее собрание пайщиков вправе определить порядок её использования.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15.3. Экономия Программы не гарантируется. При её отсутствии использование не производится.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15.4. Экономия Программы может быть направлена на: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1) возврат части неиспользованных средств участникам (кооперативная выплата);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2) уменьшение размера окончательных расчётов с участниками (зачёт);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3) увеличение паенакопления участников (зачисление на лицевой счёт);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4) развитие материальной базы Кооператива для аналогичных программ (при согласии Общего собрания);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5) формирование резерва для будущих целевых потребительских программ.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15.5. Источником кооперативных выплат является исключительно экономия Программы. Не допускается использование средств паевого фонда, резервного фонда или неделимого фонда Кооператива.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15.6. Кооперативные выплаты осуществляются в соответствии с методикой, утверждённой Общим собранием одновременно с утверждением финального отчёта. Методика учитывает участие каждого пайщика в Программе.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15.7. Кооперативные выплаты не являются инвестиционным доходом, дивидендом, прибылью или иным доходом от вложений. Целевой паевой взнос не порождает права на получение дохода от его внесения.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16. Порядок завершения участия и возврат средств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16.1. Завершение участия возможно путём: получения объекта (передача, новация — ст. 8 Устава); добровольного выхода; исключения (раздел 17); прекращения Программы (раздел 20).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16.2. Новация — в порядке статьи 8 Устава. Соглашение о новации в письменной форме.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16.3. При добровольном выходе возврат целевого паевого взноса осуществляется при наличии денежных средств Программы либо после реализации имущества Программы, не переданного другим участникам. Возврат производится с удержанием фактических расходов, понесённых в отношении данного участника.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16.4. Срок возврата определяется Правлением исходя из фактического наличия средств Программы, но не позднее 6 месяцев с даты заявления.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16.5. Минимальная часть паевого взноса (5 000 рублей) возвращается при прекращении членства в Кооперативе (п. 7.4 Устава).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17. Исключение участника из Программы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17.1. Участник может быть исключён из Программы (без прекращения членства в Кооперативе) решением Общего собрания в случаях: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1) систематической неуплаты (более 3 месяцев);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2) предоставления недостоверных сведений;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3) действий, наносящих ущерб Программе.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17.2. Решение — большинством в три четверти голосов. Участник вправе представить объяснения.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17.3. Исключённому возвращается взнос в порядке раздела 16 (при наличии средств).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17.4. Исключение из Программы не влечёт прекращения членства в Кооперативе.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18. Изменение бюджета и дополнительные взносы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18.1. При росте стоимости более 15% Правление вносит на Совет предложение об изменении бюджета.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18.2. Изменение до 25% — Совет. Свыше 25% — Общее собрание.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18.3. Дополнительные взносы устанавливаются Общим собранием с указанием: размера, срока, последствий неуплаты.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18.4. Участник, не внесший дополнительный взнос, вправе выйти с возвратом средств (раздел 16).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19. Форс-мажор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19.1. Кооператив не несёт ответственности за неисполнение, явившееся следствием обстоятельств непреодолимой силы, возникших после начала реализации.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19.2. Форс-мажор: природные явления, эпидемии, военные действия, акты органов власти, существенно изменяющие правовое регулирование, иные непредотвратимые обстоятельства.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19.3. При наступлении: уведомление участников в 15 рабочих дней; приостановка (раздел 14); обращение в ТПП при необходимости.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19.4. После прекращения — возобновление или прекращение (раздел 20).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20. Прекращение Программы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20.1. Прекращение в случаях: полного завершения расчётов; решения Общего собрания (квалифицированное большинство); ликвидации Кооператива; банкротства.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20.2. При прекращении до завершения: промежуточный отчёт; реализация имущества; возврат участникам пропорционально внесённым суммам за вычетом фактических расходов.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20.3. Решение — Общее собрание. Уведомление в 10 рабочих дней.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21. Риски и ответственность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21.1. Риски: недостаточный сбор взносов; рост стоимости; риски оформления; риски подрядчиков; рыночные риски; возможность нулевой или отрицательной экономии.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21.2. Кооператив не гарантирует: доходность, прибыль, возврат в установленный срок, конкретную рыночную стоимость объекта.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21.3. Кооператив несёт ответственность в соответствии с законодательством Российской Федерации и Уставом. Возмещение имущественных требований участников производится в пределах имущества Программы, за исключением случаев, когда законом предусмотрена иная ответственность (в том числе при умысле или грубой неосторожности органов управления Кооператива).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21.4. Субсидиарная ответственность участников ограничена невнесённой частью паевого взноса (статья 25 Устава).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22. Архив документов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22.1. Все документы Программы (заявления, договоры, протоколы, акты, сметы, отчёты, первичные документы) хранятся в Кооперативе не менее 5 (пяти) лет после завершения Программы.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22.2. Электронные копии размещаются в личном кабинете и доступны в течение срока хранения.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22.3. При ликвидации Кооператива документы передаются на хранение в порядке, установленном законодательством.</w:t>
      </w:r>
    </w:p>
    <w:p>
      <w:pPr>
        <w:keepNext/>
        <w:spacing w:before="360" w:after="160" w:line="360" w:lineRule="auto"/>
        <w:jc w:val="left"/>
      </w:pPr>
      <w:r>
        <w:rPr>
          <w:rFonts w:ascii="Times New Roman" w:hAnsi="Times New Roman"/>
          <w:b/>
          <w:sz w:val="26"/>
        </w:rPr>
        <w:t>Раздел 23. Заключительные положения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23.1. Паспорт вступает в силу с момента утверждения Общим собранием.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23.2. Изменения — Общим собранием квалифицированным большинством в три четверти голосов.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23.3. Программа не является инвестиционной деятельностью, не предполагает извлечение прибыли и не относится к отношениям, регулируемым законодательством о рынке ценных бумаг, инвестиционной деятельности и иными специальными законами, регулирующими привлечение инвестиций.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23.4. Споры — путём переговоров, при недостижении — в судебном порядке по месту нахождения Кооператива.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23.5. Уведомления — в письменной форме или через личный кабинет.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/>
          <w:sz w:val="24"/>
        </w:rPr>
        <w:t>Утверждено Общим собранием пайщиков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Протокол № 【указать номер】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от «____» _______________ 20__ г.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Председатель Правления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_________________ / ___________________ /</w:t>
      </w:r>
    </w:p>
    <w:p>
      <w:r>
        <w:br w:type="page"/>
      </w:r>
    </w:p>
    <w:p>
      <w:pPr>
        <w:spacing w:after="120" w:line="360" w:lineRule="auto"/>
        <w:jc w:val="center"/>
      </w:pPr>
      <w:r>
        <w:rPr>
          <w:rFonts w:ascii="Times New Roman" w:hAnsi="Times New Roman"/>
          <w:b/>
          <w:sz w:val="32"/>
        </w:rPr>
        <w:t>Приложение №1</w:t>
      </w:r>
    </w:p>
    <w:p>
      <w:pPr>
        <w:spacing w:after="360" w:line="360" w:lineRule="auto"/>
        <w:jc w:val="center"/>
      </w:pPr>
      <w:r>
        <w:rPr>
          <w:rFonts w:ascii="Times New Roman" w:hAnsi="Times New Roman"/>
          <w:b/>
          <w:sz w:val="28"/>
        </w:rPr>
        <w:t>Плановый бюджет Программы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Плановый бюджет Программы формируется Правлением на основе коммерческих предложений подрядчиков и утверждается Общим собранием пайщиков одновременно с утверждением Программы. Бюджет является ориентировочным и может корректироваться в порядке раздела 18.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Статья расходов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Сумма (₽)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Земельный участок (оформление прав)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Модульный дом (изготовление на производстве)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Доставка модульного дома на участок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Фундамент (монолитный / свайно-винтовой)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Монтаж дома на фундаменте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Коммуникации (электричество, вода, канализация, отопление)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Благоустройство участка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Проектная документация и согласования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Страхование строительно-монтажных рисков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Услуги подрядчиков (кадастровый инженер, юрист, бухгалтер)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Госпошлины, налоги, разрешения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Непредвиденные расходы (резерв 5–10%)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Итого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___________</w:t>
            </w:r>
          </w:p>
        </w:tc>
      </w:tr>
    </w:tbl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Примечание: конкретные суммы заполняются после получения коммерческих предложений от подрядчиков. Бюджет утверждается Общим собранием пайщиков.</w:t>
      </w:r>
    </w:p>
    <w:p>
      <w:r>
        <w:br w:type="page"/>
      </w:r>
    </w:p>
    <w:p>
      <w:pPr>
        <w:spacing w:after="120" w:line="360" w:lineRule="auto"/>
        <w:jc w:val="center"/>
      </w:pPr>
      <w:r>
        <w:rPr>
          <w:rFonts w:ascii="Times New Roman" w:hAnsi="Times New Roman"/>
          <w:b/>
          <w:sz w:val="32"/>
        </w:rPr>
        <w:t>Приложение №2</w:t>
      </w:r>
    </w:p>
    <w:p>
      <w:pPr>
        <w:spacing w:after="360" w:line="360" w:lineRule="auto"/>
        <w:jc w:val="center"/>
      </w:pPr>
      <w:r>
        <w:rPr>
          <w:rFonts w:ascii="Times New Roman" w:hAnsi="Times New Roman"/>
          <w:b/>
          <w:sz w:val="28"/>
        </w:rPr>
        <w:t>Пример расчёта экономии Программы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Настоящий пример является иллюстративным и не представляет обязательств Кооператива. Конкретные цифры определяются по итогам реализации Программы.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484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Сумма (₽)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Плановая стоимость Программы (10 участников)</w:t>
            </w:r>
          </w:p>
        </w:tc>
        <w:tc>
          <w:tcPr>
            <w:tcW w:type="dxa" w:w="4844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12 000 000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Фактические расходы Кооператива</w:t>
            </w:r>
          </w:p>
        </w:tc>
        <w:tc>
          <w:tcPr>
            <w:tcW w:type="dxa" w:w="4844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11 600 000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Экономия Программы (остаток средств)</w:t>
            </w:r>
          </w:p>
        </w:tc>
        <w:tc>
          <w:tcPr>
            <w:tcW w:type="dxa" w:w="4844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400 000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Распределение экономии:</w:t>
            </w:r>
          </w:p>
        </w:tc>
        <w:tc>
          <w:tcPr>
            <w:tcW w:type="dxa" w:w="4844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• Возврат части средств участникам (кооперативные выплаты)</w:t>
            </w:r>
          </w:p>
        </w:tc>
        <w:tc>
          <w:tcPr>
            <w:tcW w:type="dxa" w:w="4844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400 000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• В среднем на участника (10 чел.)</w:t>
            </w:r>
          </w:p>
        </w:tc>
        <w:tc>
          <w:tcPr>
            <w:tcW w:type="dxa" w:w="4844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40 000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Итого к возврату каждому участнику</w:t>
            </w:r>
          </w:p>
        </w:tc>
        <w:tc>
          <w:tcPr>
            <w:tcW w:type="dxa" w:w="484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40 000</w:t>
            </w:r>
          </w:p>
        </w:tc>
      </w:tr>
    </w:tbl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/>
          <w:sz w:val="24"/>
        </w:rPr>
        <w:t>Примечания: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1. Экономия Программы не гарантируется. При отрицательном результате (фактические расходы превысили плановые) кооперативные выплаты не осуществляются.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2. Распределение экономии осуществляется в соответствии с методикой, утверждённой Общим собранием одновременно с финальным отчётом.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3. Кооперативные выплаты не являются инвестиционным доходом, дивидендом или прибылью.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4. В примере показан случай возврата средств. Возможны иные формы: зачёт, увеличение паенакопления — по решению Общего собрания.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