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系统规划说明书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文档版本：v1.0 ｜ 基于现状：设计稿 v1.9 + 后端 3 模块/13 接口已落地 ｜ 生成日期：2026-09-14  目的：明确系统演进路线、阶段目标、技术演进与风险对策，为研发排期与资源投入提供依据。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愿景与目标</w:t>
      </w:r>
    </w:p>
    <w:p>
      <w:pPr>
        <w:spacing w:after="0"/>
      </w:pPr>
      <w:r>
        <w:rPr>
          <w:rFonts w:ascii="宋体" w:hAnsi="宋体" w:eastAsia="宋体"/>
          <w:b/>
          <w:sz w:val="21"/>
        </w:rPr>
        <w:t>愿景</w:t>
      </w:r>
      <w:r>
        <w:rPr>
          <w:rFonts w:ascii="宋体" w:hAnsi="宋体" w:eastAsia="宋体"/>
          <w:b w:val="0"/>
          <w:sz w:val="21"/>
        </w:rPr>
        <w:t>：打造一套覆盖「销售—装维—运营」全链路的宽带业务平台，以可安装性校验、智能派单、装维 SLA 赔付、套餐灵活升级与流量透明化为核心竞争力，对标中国电信「美好家/慢必赔」与中国移动「和家庭/超时赔」的最佳实践。</w:t>
      </w:r>
    </w:p>
    <w:p>
      <w:pPr>
        <w:spacing w:after="0"/>
      </w:pPr>
      <w:r>
        <w:rPr>
          <w:rFonts w:ascii="宋体" w:hAnsi="宋体" w:eastAsia="宋体"/>
          <w:b/>
          <w:sz w:val="21"/>
        </w:rPr>
        <w:t>核心目标（SMART 化）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前端办理转化率：覆盖查询→下单链路可装性实时校验，避免超卖。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装维时效：相邻小区合并派单 + 时段容量管控，超容自动拦截。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服务可信：SLA 规则引擎驱动「慢必赔/不达标赔」自动赔付。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经营灵活：套餐升档/加购在线办理，补差计算透明可追溯。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规划原则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算法与框架解耦</w:t>
      </w:r>
      <w:r>
        <w:rPr>
          <w:rFonts w:ascii="宋体" w:hAnsi="宋体" w:eastAsia="宋体"/>
          <w:b w:val="0"/>
          <w:sz w:val="21"/>
        </w:rPr>
        <w:t>：核心算法保持纯 Java 可独立验证，降低回归风险。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接口先行、契约稳定</w:t>
      </w:r>
      <w:r>
        <w:rPr>
          <w:rFonts w:ascii="宋体" w:hAnsi="宋体" w:eastAsia="宋体"/>
          <w:b w:val="0"/>
          <w:sz w:val="21"/>
        </w:rPr>
        <w:t>：REST 接口契约先定义（已完成 13 个），前后端并行。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垂直切片交付</w:t>
      </w:r>
      <w:r>
        <w:rPr>
          <w:rFonts w:ascii="宋体" w:hAnsi="宋体" w:eastAsia="宋体"/>
          <w:b w:val="0"/>
          <w:sz w:val="21"/>
        </w:rPr>
        <w:t>：按业务域（community/dispatch/pkg/sla/traffic）逐模块打通「接口→前端→DB」。</w:t>
      </w:r>
    </w:p>
    <w:p>
      <w:pPr>
        <w:pStyle w:val="ListNumber"/>
        <w:spacing w:after="0"/>
      </w:pPr>
      <w:r>
        <w:rPr>
          <w:rFonts w:ascii="宋体" w:hAnsi="宋体" w:eastAsia="宋体"/>
          <w:b/>
          <w:sz w:val="21"/>
        </w:rPr>
        <w:t>基础设施后置</w:t>
      </w:r>
      <w:r>
        <w:rPr>
          <w:rFonts w:ascii="宋体" w:hAnsi="宋体" w:eastAsia="宋体"/>
          <w:b w:val="0"/>
          <w:sz w:val="21"/>
        </w:rPr>
        <w:t>：DB/安全/配置中心在核心业务验证后统一接入，避免 early over-engineering。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阶段路线图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周期以「相对工期」标注（如 2~3 周），实际排期结合资源确认。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Phase 1 · 核心底座与联调（进行中 → 收口）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目标</w:t>
      </w:r>
      <w:r>
        <w:rPr>
          <w:rFonts w:ascii="宋体" w:hAnsi="宋体" w:eastAsia="宋体"/>
          <w:b w:val="0"/>
          <w:sz w:val="21"/>
        </w:rPr>
        <w:t>：后端核心算法 + 接口契约稳定，客户端骨架打通关键链路。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：3 模块 13 接口（已完成）；客户端 7 页骨架（已完成）；端到端 mock 联调。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关键交付</w:t>
      </w:r>
      <w:r>
        <w:rPr>
          <w:rFonts w:ascii="宋体" w:hAnsi="宋体" w:eastAsia="宋体"/>
          <w:b w:val="0"/>
          <w:sz w:val="21"/>
        </w:rPr>
        <w:t>：设计稿 v1.9、后端 5 个 Demo 验证报告、小程序 7 页骨架。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退出标准</w:t>
      </w:r>
      <w:r>
        <w:rPr>
          <w:rFonts w:ascii="宋体" w:hAnsi="宋体" w:eastAsia="宋体"/>
          <w:b w:val="0"/>
          <w:sz w:val="21"/>
        </w:rPr>
        <w:t>：所有接口可通过 Postman/curl 返回结构化 JSON；小程序关键页可本地预览。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Phase 2 · 数据持久化与真实联调（建议 3~4 周）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目标</w:t>
      </w:r>
      <w:r>
        <w:rPr>
          <w:rFonts w:ascii="宋体" w:hAnsi="宋体" w:eastAsia="宋体"/>
          <w:b w:val="0"/>
          <w:sz w:val="21"/>
        </w:rPr>
        <w:t>：从 mock 切真实数据，端到端可用。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引入数据库驱动（MySQL/PostgreSQL），按《运维操作说明书》建表（约 12 张）。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各模块 mapper 接入，Controller/Service 去除 mock。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小程序 </w:t>
      </w:r>
      <w:r>
        <w:rPr>
          <w:rFonts w:ascii="Consolas" w:hAnsi="Consolas" w:eastAsia="Consolas"/>
          <w:b w:val="0"/>
          <w:sz w:val="21"/>
        </w:rPr>
        <w:t>api.js</w:t>
      </w:r>
      <w:r>
        <w:rPr>
          <w:rFonts w:ascii="宋体" w:hAnsi="宋体" w:eastAsia="宋体"/>
          <w:b w:val="0"/>
          <w:sz w:val="21"/>
        </w:rPr>
        <w:t xml:space="preserve"> 指向真实后端，关闭兜底或仅保留异常兜底。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关键交付</w:t>
      </w:r>
      <w:r>
        <w:rPr>
          <w:rFonts w:ascii="宋体" w:hAnsi="宋体" w:eastAsia="宋体"/>
          <w:b w:val="0"/>
          <w:sz w:val="21"/>
        </w:rPr>
        <w:t>：可运行的后端 jar（连库）、数据初始化脚本、联调用例。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Phase 3 · PC 后台与权限体系（建议 4~6 周）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目标</w:t>
      </w:r>
      <w:r>
        <w:rPr>
          <w:rFonts w:ascii="宋体" w:hAnsi="宋体" w:eastAsia="宋体"/>
          <w:b w:val="0"/>
          <w:sz w:val="21"/>
        </w:rPr>
        <w:t>：运营可管理，权限可控。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 xml:space="preserve">搭建 web-admin（Vue3 + Element Plus + Pinia + Vite），路由 </w:t>
      </w:r>
      <w:r>
        <w:rPr>
          <w:rFonts w:ascii="Consolas" w:hAnsi="Consolas" w:eastAsia="Consolas"/>
          <w:b w:val="0"/>
          <w:sz w:val="21"/>
        </w:rPr>
        <w:t>/dashboard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落地 16 个后台模块（套餐/小区/工单/SLA/流量/升级/权限/性能…）。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接入 RBAC：Spring Security 6 + JWT，用户/角色/菜单权限表与前端权限树对齐。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关键交付</w:t>
      </w:r>
      <w:r>
        <w:rPr>
          <w:rFonts w:ascii="宋体" w:hAnsi="宋体" w:eastAsia="宋体"/>
          <w:b w:val="0"/>
          <w:sz w:val="21"/>
        </w:rPr>
        <w:t>：PC 后台可登录可用、权限树生效、与小程序共用后端接口。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Phase 4 · 配置中心、监控与智能化（建议 4~6 周）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目标</w:t>
      </w:r>
      <w:r>
        <w:rPr>
          <w:rFonts w:ascii="宋体" w:hAnsi="宋体" w:eastAsia="宋体"/>
          <w:b w:val="0"/>
          <w:sz w:val="21"/>
        </w:rPr>
        <w:t>：可运维、可观测、可运营。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范围</w:t>
      </w:r>
      <w:r>
        <w:rPr>
          <w:rFonts w:ascii="宋体" w:hAnsi="宋体" w:eastAsia="宋体"/>
          <w:b w:val="0"/>
          <w:sz w:val="21"/>
        </w:rPr>
        <w:t>：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Apollo 配置中心：容量阈值、SLA 规则、特征开关动态下发 + 热刷新。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监控：Prometheus + 日志中心，关键指标（派单成功率/超容率/SLA 达标率/流量阈值触发率）看板。</w:t>
      </w:r>
    </w:p>
    <w:p>
      <w:pPr>
        <w:pStyle w:val="ListBullet2"/>
        <w:spacing w:after="0"/>
      </w:pPr>
      <w:r>
        <w:rPr>
          <w:rFonts w:ascii="宋体" w:hAnsi="宋体" w:eastAsia="宋体"/>
          <w:b w:val="0"/>
          <w:sz w:val="21"/>
        </w:rPr>
        <w:t>智能化：派单路径优化、SLA 风险预测、流量套餐智能推荐。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关键交付</w:t>
      </w:r>
      <w:r>
        <w:rPr>
          <w:rFonts w:ascii="宋体" w:hAnsi="宋体" w:eastAsia="宋体"/>
          <w:b w:val="0"/>
          <w:sz w:val="21"/>
        </w:rPr>
        <w:t>：配置热更新、监控大盘、运营报表。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技术演进路线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现状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目标（Phase 4）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数据层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mock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多数据源 + 读写分离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安全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无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RBAC + JWT + 审计日志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配置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硬编码常量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Apollo 动态配置 + 热刷新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小程序骨架 7 页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 20 页 + PC 后台 16 模块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监控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控制台日志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指标 + 日志 + 告警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部署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本地 jar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容器化 + CI/CD + 灰度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风险与对策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对策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设计稿规划页多、实现面广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进度压力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垂直切片，先打通核心链路再扩展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mock 与真实数据差异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联调返工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早期定义 DTO 与表结构，接口契约先行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师傅端/PC 端尚未启动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交付不完整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3 集中资源建工程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容量/SLA 规则需运营确认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业务正确性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规则引擎参数化，Apollo 可热更，先默认值后调优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多端主题与权限一致性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体验/安全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统一设计 token 与 RBAC 模型，前后端共约束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验收标准（建议）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功能</w:t>
      </w:r>
      <w:r>
        <w:rPr>
          <w:rFonts w:ascii="宋体" w:hAnsi="宋体" w:eastAsia="宋体"/>
          <w:b w:val="0"/>
          <w:sz w:val="21"/>
        </w:rPr>
        <w:t>：13 个接口 100% 可用；小程序核心 7 页可操作；PC 后台关键模块可管理。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质量</w:t>
      </w:r>
      <w:r>
        <w:rPr>
          <w:rFonts w:ascii="宋体" w:hAnsi="宋体" w:eastAsia="宋体"/>
          <w:b w:val="0"/>
          <w:sz w:val="21"/>
        </w:rPr>
        <w:t>：核心算法有 Demo/单测覆盖；关键路径有联调用例。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安全</w:t>
      </w:r>
      <w:r>
        <w:rPr>
          <w:rFonts w:ascii="宋体" w:hAnsi="宋体" w:eastAsia="宋体"/>
          <w:b w:val="0"/>
          <w:sz w:val="21"/>
        </w:rPr>
        <w:t>：RBAC 生效，越权接口返回 401/403。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运维</w:t>
      </w:r>
      <w:r>
        <w:rPr>
          <w:rFonts w:ascii="宋体" w:hAnsi="宋体" w:eastAsia="宋体"/>
          <w:b w:val="0"/>
          <w:sz w:val="21"/>
        </w:rPr>
        <w:t>：提供建表 SQL、部署脚本、配置模板、故障排查手册（见《运维操作说明书》）。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可观测</w:t>
      </w:r>
      <w:r>
        <w:rPr>
          <w:rFonts w:ascii="宋体" w:hAnsi="宋体" w:eastAsia="宋体"/>
          <w:b w:val="0"/>
          <w:sz w:val="21"/>
        </w:rPr>
        <w:t>：关键业务指标有看板。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角色与协作建议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阶段重点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产品经理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需求/规则确认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全周期，尤其 SLA/容量规则定标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后端开发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模块实现/接口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1–4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前端开发（小程序/PC）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页面与联调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1、3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测试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联调/回归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2 起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运维/DevOps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部署/监控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Phase 2、4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项目管理者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排期/风险/验收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全周期（建议 PMP/PMBOK 跟踪里程碑）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