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lastRenderedPageBreak/>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327D4B">
      <w:pPr>
        <w:pStyle w:val="2"/>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w:t>
      </w:r>
      <w:proofErr w:type="gramStart"/>
      <w:r>
        <w:rPr>
          <w:rFonts w:hint="eastAsia"/>
        </w:rPr>
        <w:t>其他源</w:t>
      </w:r>
      <w:proofErr w:type="gramEnd"/>
      <w:r>
        <w:rPr>
          <w:rFonts w:hint="eastAsia"/>
        </w:rPr>
        <w:t>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w:t>
      </w:r>
      <w:proofErr w:type="gramStart"/>
      <w:r>
        <w:rPr>
          <w:rFonts w:hint="eastAsia"/>
        </w:rPr>
        <w:t>器执行</w:t>
      </w:r>
      <w:proofErr w:type="gramEnd"/>
      <w:r>
        <w:rPr>
          <w:rFonts w:hint="eastAsia"/>
        </w:rPr>
        <w:t>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proofErr w:type="gramStart"/>
            <w:r w:rsidRPr="006E170B">
              <w:rPr>
                <w:rFonts w:ascii="Consolas" w:eastAsia="宋体" w:hAnsi="Consolas" w:cs="Consolas"/>
                <w:color w:val="3F5FBF"/>
                <w:kern w:val="0"/>
                <w:sz w:val="13"/>
                <w:szCs w:val="13"/>
              </w:rPr>
              <w:t>每特教育</w:t>
            </w:r>
            <w:proofErr w:type="gramEnd"/>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proofErr w:type="gramStart"/>
            <w:r w:rsidRPr="006E170B">
              <w:rPr>
                <w:rFonts w:ascii="Consolas" w:eastAsia="宋体" w:hAnsi="Consolas" w:cs="Consolas"/>
                <w:color w:val="3F7F5F"/>
                <w:kern w:val="0"/>
                <w:sz w:val="13"/>
                <w:szCs w:val="13"/>
              </w:rPr>
              <w:t>当前类</w:t>
            </w:r>
            <w:proofErr w:type="gramEnd"/>
            <w:r w:rsidRPr="006E170B">
              <w:rPr>
                <w:rFonts w:ascii="Consolas" w:eastAsia="宋体" w:hAnsi="Consolas" w:cs="Consolas"/>
                <w:color w:val="3F7F5F"/>
                <w:kern w:val="0"/>
                <w:sz w:val="13"/>
                <w:szCs w:val="13"/>
              </w:rPr>
              <w:t>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w:t>
      </w:r>
      <w:proofErr w:type="gramStart"/>
      <w:r w:rsidRPr="00A96440">
        <w:rPr>
          <w:rFonts w:ascii="楷体" w:eastAsia="楷体" w:hAnsi="楷体" w:cstheme="minorBidi" w:hint="eastAsia"/>
          <w:kern w:val="2"/>
          <w:sz w:val="21"/>
        </w:rPr>
        <w:t>碎片以级数据库</w:t>
      </w:r>
      <w:proofErr w:type="gramEnd"/>
      <w:r w:rsidRPr="00A96440">
        <w:rPr>
          <w:rFonts w:ascii="楷体" w:eastAsia="楷体" w:hAnsi="楷体" w:cstheme="minorBidi" w:hint="eastAsia"/>
          <w:kern w:val="2"/>
          <w:sz w:val="21"/>
        </w:rPr>
        <w:t>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w:t>
      </w:r>
      <w:proofErr w:type="gramStart"/>
      <w:r w:rsidRPr="00A96440">
        <w:rPr>
          <w:rFonts w:ascii="楷体" w:eastAsia="楷体" w:hAnsi="楷体" w:cstheme="minorBidi" w:hint="eastAsia"/>
          <w:kern w:val="2"/>
          <w:sz w:val="21"/>
        </w:rPr>
        <w:t>池实现</w:t>
      </w:r>
      <w:proofErr w:type="gramEnd"/>
      <w:r w:rsidRPr="00A96440">
        <w:rPr>
          <w:rFonts w:ascii="楷体" w:eastAsia="楷体" w:hAnsi="楷体" w:cstheme="minorBidi" w:hint="eastAsia"/>
          <w:kern w:val="2"/>
          <w:sz w:val="21"/>
        </w:rPr>
        <w:t>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rPr>
          <w:rFonts w:hint="eastAsia"/>
        </w:rPr>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w:t>
      </w:r>
      <w:proofErr w:type="gramStart"/>
      <w:r w:rsidRPr="00A96440">
        <w:rPr>
          <w:rFonts w:ascii="楷体" w:eastAsia="楷体" w:hAnsi="楷体" w:cstheme="minorBidi" w:hint="eastAsia"/>
          <w:kern w:val="2"/>
          <w:sz w:val="21"/>
        </w:rPr>
        <w:t>池机制</w:t>
      </w:r>
      <w:proofErr w:type="gramEnd"/>
      <w:r w:rsidRPr="00A96440">
        <w:rPr>
          <w:rFonts w:ascii="楷体" w:eastAsia="楷体" w:hAnsi="楷体" w:cstheme="minorBidi" w:hint="eastAsia"/>
          <w:kern w:val="2"/>
          <w:sz w:val="21"/>
        </w:rPr>
        <w:t>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Pr>
        <w:rPr>
          <w:rFonts w:hint="eastAsia"/>
        </w:rPr>
      </w:pPr>
    </w:p>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hint="eastAsia"/>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Pr>
        <w:rPr>
          <w:rFonts w:hint="eastAsia"/>
        </w:rPr>
      </w:pPr>
    </w:p>
    <w:p w:rsidR="00535D3B" w:rsidRDefault="00EA7A74" w:rsidP="001D23CB">
      <w:pPr>
        <w:pStyle w:val="3"/>
      </w:pPr>
      <w:r>
        <w:rPr>
          <w:rFonts w:hint="eastAsia"/>
        </w:rPr>
        <w:t>纯手写数据库连接池</w:t>
      </w:r>
    </w:p>
    <w:p w:rsidR="0025338F" w:rsidRDefault="0025338F" w:rsidP="0025338F">
      <w:bookmarkStart w:id="26" w:name="_GoBack"/>
      <w:bookmarkEnd w:id="26"/>
    </w:p>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hint="eastAsia"/>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w:t>
            </w:r>
            <w:proofErr w:type="gramStart"/>
            <w:r w:rsidRPr="0066534D">
              <w:rPr>
                <w:rFonts w:ascii="Consolas" w:eastAsia="宋体" w:hAnsi="Consolas" w:cs="Consolas"/>
                <w:color w:val="3F5FBF"/>
                <w:kern w:val="0"/>
                <w:sz w:val="13"/>
                <w:szCs w:val="13"/>
              </w:rPr>
              <w:t>池核心</w:t>
            </w:r>
            <w:proofErr w:type="gramEnd"/>
            <w:r w:rsidRPr="0066534D">
              <w:rPr>
                <w:rFonts w:ascii="Consolas" w:eastAsia="宋体" w:hAnsi="Consolas" w:cs="Consolas"/>
                <w:color w:val="3F5FBF"/>
                <w:kern w:val="0"/>
                <w:sz w:val="13"/>
                <w:szCs w:val="13"/>
              </w:rPr>
              <w:t>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小于最大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proofErr w:type="gramStart"/>
            <w:r w:rsidRPr="0066534D">
              <w:rPr>
                <w:rFonts w:ascii="Consolas" w:eastAsia="宋体" w:hAnsi="Consolas" w:cs="Consolas"/>
                <w:color w:val="3F5FBF"/>
                <w:kern w:val="0"/>
                <w:sz w:val="13"/>
                <w:szCs w:val="13"/>
              </w:rPr>
              <w:t>每特教育</w:t>
            </w:r>
            <w:proofErr w:type="gramEnd"/>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Pr>
        <w:rPr>
          <w:rFonts w:hint="eastAsia"/>
        </w:rPr>
      </w:pPr>
    </w:p>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rFonts w:hint="eastAsia"/>
                <w:sz w:val="13"/>
                <w:szCs w:val="13"/>
              </w:rPr>
            </w:pPr>
            <w:r w:rsidRPr="0066534D">
              <w:rPr>
                <w:rFonts w:ascii="Consolas" w:eastAsia="宋体" w:hAnsi="Consolas" w:cs="Consolas"/>
                <w:color w:val="000000"/>
                <w:kern w:val="0"/>
                <w:sz w:val="13"/>
                <w:szCs w:val="13"/>
              </w:rPr>
              <w:t>}</w:t>
            </w:r>
          </w:p>
        </w:tc>
      </w:tr>
    </w:tbl>
    <w:p w:rsidR="0066534D" w:rsidRPr="0066534D" w:rsidRDefault="0066534D" w:rsidP="0066534D">
      <w:pPr>
        <w:rPr>
          <w:rFonts w:hint="eastAsia"/>
        </w:rPr>
      </w:pPr>
    </w:p>
    <w:sectPr w:rsidR="0066534D" w:rsidRPr="0066534D" w:rsidSect="005F26EE">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8D" w:rsidRDefault="00F4208D" w:rsidP="005D0263">
      <w:r>
        <w:separator/>
      </w:r>
    </w:p>
  </w:endnote>
  <w:endnote w:type="continuationSeparator" w:id="0">
    <w:p w:rsidR="00F4208D" w:rsidRDefault="00F4208D"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8D" w:rsidRDefault="00F4208D" w:rsidP="005D0263">
      <w:r>
        <w:separator/>
      </w:r>
    </w:p>
  </w:footnote>
  <w:footnote w:type="continuationSeparator" w:id="0">
    <w:p w:rsidR="00F4208D" w:rsidRDefault="00F4208D"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A9" w:rsidRDefault="00517FA9">
    <w:pPr>
      <w:pStyle w:val="a6"/>
    </w:pPr>
  </w:p>
  <w:p w:rsidR="00517FA9" w:rsidRPr="00B30051" w:rsidRDefault="00F4208D"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517FA9" w:rsidRPr="00B30051">
      <w:rPr>
        <w:rFonts w:ascii="楷体" w:eastAsia="楷体" w:hAnsi="楷体" w:hint="eastAsia"/>
        <w:b/>
        <w:color w:val="FF0000"/>
        <w:sz w:val="15"/>
        <w:szCs w:val="15"/>
      </w:rPr>
      <w:t>上海</w:t>
    </w:r>
    <w:r w:rsidR="00517FA9" w:rsidRPr="00B30051">
      <w:rPr>
        <w:rFonts w:ascii="楷体" w:eastAsia="楷体" w:hAnsi="楷体"/>
        <w:b/>
        <w:color w:val="FF0000"/>
        <w:sz w:val="15"/>
        <w:szCs w:val="15"/>
      </w:rPr>
      <w:t>每特</w:t>
    </w:r>
    <w:r w:rsidR="00517FA9" w:rsidRPr="00B30051">
      <w:rPr>
        <w:rFonts w:ascii="楷体" w:eastAsia="楷体" w:hAnsi="楷体" w:hint="eastAsia"/>
        <w:b/>
        <w:color w:val="FF0000"/>
        <w:sz w:val="15"/>
        <w:szCs w:val="15"/>
      </w:rPr>
      <w:t>教育</w:t>
    </w:r>
    <w:r w:rsidR="00517FA9" w:rsidRPr="00B30051">
      <w:rPr>
        <w:rFonts w:ascii="楷体" w:eastAsia="楷体" w:hAnsi="楷体"/>
        <w:b/>
        <w:color w:val="FF0000"/>
        <w:sz w:val="15"/>
        <w:szCs w:val="15"/>
      </w:rPr>
      <w:t>科技有限公司</w:t>
    </w:r>
    <w:r w:rsidR="00517FA9" w:rsidRPr="00B30051">
      <w:rPr>
        <w:rFonts w:ascii="楷体" w:eastAsia="楷体" w:hAnsi="楷体" w:hint="eastAsia"/>
        <w:b/>
        <w:color w:val="FF0000"/>
        <w:sz w:val="15"/>
        <w:szCs w:val="15"/>
      </w:rPr>
      <w:t>(蚂蚁</w:t>
    </w:r>
    <w:r w:rsidR="00517FA9" w:rsidRPr="00B30051">
      <w:rPr>
        <w:rFonts w:ascii="楷体" w:eastAsia="楷体" w:hAnsi="楷体"/>
        <w:b/>
        <w:color w:val="FF0000"/>
        <w:sz w:val="15"/>
        <w:szCs w:val="15"/>
      </w:rPr>
      <w:t>课堂</w:t>
    </w:r>
    <w:r w:rsidR="00517FA9" w:rsidRPr="00B30051">
      <w:rPr>
        <w:rFonts w:ascii="楷体" w:eastAsia="楷体" w:hAnsi="楷体" w:hint="eastAsia"/>
        <w:b/>
        <w:color w:val="FF0000"/>
        <w:sz w:val="15"/>
        <w:szCs w:val="15"/>
      </w:rPr>
      <w:t>&amp;每</w:t>
    </w:r>
    <w:proofErr w:type="gramStart"/>
    <w:r w:rsidR="00517FA9" w:rsidRPr="00B30051">
      <w:rPr>
        <w:rFonts w:ascii="楷体" w:eastAsia="楷体" w:hAnsi="楷体" w:hint="eastAsia"/>
        <w:b/>
        <w:color w:val="FF0000"/>
        <w:sz w:val="15"/>
        <w:szCs w:val="15"/>
      </w:rPr>
      <w:t>特</w:t>
    </w:r>
    <w:proofErr w:type="gramEnd"/>
    <w:r w:rsidR="00517FA9" w:rsidRPr="00B30051">
      <w:rPr>
        <w:rFonts w:ascii="楷体" w:eastAsia="楷体" w:hAnsi="楷体"/>
        <w:b/>
        <w:color w:val="FF0000"/>
        <w:sz w:val="15"/>
        <w:szCs w:val="15"/>
      </w:rPr>
      <w:t>学院</w:t>
    </w:r>
    <w:r w:rsidR="00517FA9" w:rsidRPr="00B30051">
      <w:rPr>
        <w:rFonts w:ascii="楷体" w:eastAsia="楷体" w:hAnsi="楷体" w:hint="eastAsia"/>
        <w:b/>
        <w:color w:val="FF0000"/>
        <w:sz w:val="15"/>
        <w:szCs w:val="15"/>
      </w:rPr>
      <w:t>联合</w:t>
    </w:r>
    <w:r w:rsidR="00517FA9" w:rsidRPr="00B30051">
      <w:rPr>
        <w:rFonts w:ascii="楷体" w:eastAsia="楷体" w:hAnsi="楷体"/>
        <w:b/>
        <w:color w:val="FF0000"/>
        <w:sz w:val="15"/>
        <w:szCs w:val="15"/>
      </w:rPr>
      <w:t>出品</w:t>
    </w:r>
    <w:r w:rsidR="00517FA9" w:rsidRPr="00B30051">
      <w:rPr>
        <w:rFonts w:ascii="楷体" w:eastAsia="楷体" w:hAnsi="楷体" w:hint="eastAsia"/>
        <w:b/>
        <w:color w:val="FF0000"/>
        <w:sz w:val="15"/>
        <w:szCs w:val="15"/>
      </w:rPr>
      <w:t>)</w:t>
    </w:r>
    <w:r w:rsidR="00517FA9" w:rsidRPr="00B30051">
      <w:rPr>
        <w:rFonts w:ascii="楷体" w:eastAsia="楷体" w:hAnsi="楷体"/>
        <w:b/>
        <w:color w:val="FF0000"/>
        <w:sz w:val="15"/>
        <w:szCs w:val="15"/>
      </w:rPr>
      <w:t xml:space="preserve"> </w:t>
    </w:r>
    <w:r w:rsidR="00517FA9" w:rsidRPr="00B30051">
      <w:rPr>
        <w:rFonts w:ascii="楷体" w:eastAsia="楷体" w:hAnsi="楷体" w:hint="eastAsia"/>
        <w:b/>
        <w:color w:val="FF0000"/>
        <w:sz w:val="15"/>
        <w:szCs w:val="15"/>
      </w:rPr>
      <w:t>余</w:t>
    </w:r>
    <w:r w:rsidR="00517FA9" w:rsidRPr="00B30051">
      <w:rPr>
        <w:rFonts w:ascii="楷体" w:eastAsia="楷体" w:hAnsi="楷体"/>
        <w:b/>
        <w:color w:val="FF0000"/>
        <w:sz w:val="15"/>
        <w:szCs w:val="15"/>
      </w:rPr>
      <w:t>老师</w:t>
    </w:r>
    <w:r w:rsidR="00517FA9" w:rsidRPr="00B30051">
      <w:rPr>
        <w:rFonts w:ascii="楷体" w:eastAsia="楷体" w:hAnsi="楷体" w:hint="eastAsia"/>
        <w:b/>
        <w:color w:val="FF0000"/>
        <w:sz w:val="15"/>
        <w:szCs w:val="15"/>
      </w:rPr>
      <w:t>QQ644064779 官方</w:t>
    </w:r>
    <w:r w:rsidR="00517FA9" w:rsidRPr="00B30051">
      <w:rPr>
        <w:rFonts w:ascii="楷体" w:eastAsia="楷体" w:hAnsi="楷体"/>
        <w:b/>
        <w:color w:val="FF0000"/>
        <w:sz w:val="15"/>
        <w:szCs w:val="15"/>
      </w:rPr>
      <w:t>粉丝群116295598</w:t>
    </w:r>
  </w:p>
  <w:p w:rsidR="00517FA9" w:rsidRPr="008027E7" w:rsidRDefault="00517FA9">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7F355D"/>
    <w:multiLevelType w:val="singleLevel"/>
    <w:tmpl w:val="597F355D"/>
    <w:lvl w:ilvl="0">
      <w:start w:val="3"/>
      <w:numFmt w:val="chineseCounting"/>
      <w:suff w:val="nothing"/>
      <w:lvlText w:val="%1、"/>
      <w:lvlJc w:val="left"/>
    </w:lvl>
  </w:abstractNum>
  <w:abstractNum w:abstractNumId="18"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9" w15:restartNumberingAfterBreak="0">
    <w:nsid w:val="5991E0BA"/>
    <w:multiLevelType w:val="singleLevel"/>
    <w:tmpl w:val="5991E0BA"/>
    <w:lvl w:ilvl="0">
      <w:start w:val="1"/>
      <w:numFmt w:val="decimal"/>
      <w:suff w:val="nothing"/>
      <w:lvlText w:val="%1."/>
      <w:lvlJc w:val="left"/>
    </w:lvl>
  </w:abstractNum>
  <w:abstractNum w:abstractNumId="20"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9"/>
  </w:num>
  <w:num w:numId="4">
    <w:abstractNumId w:val="15"/>
  </w:num>
  <w:num w:numId="5">
    <w:abstractNumId w:val="21"/>
  </w:num>
  <w:num w:numId="6">
    <w:abstractNumId w:val="2"/>
  </w:num>
  <w:num w:numId="7">
    <w:abstractNumId w:val="1"/>
  </w:num>
  <w:num w:numId="8">
    <w:abstractNumId w:val="13"/>
  </w:num>
  <w:num w:numId="9">
    <w:abstractNumId w:val="9"/>
  </w:num>
  <w:num w:numId="10">
    <w:abstractNumId w:val="8"/>
  </w:num>
  <w:num w:numId="11">
    <w:abstractNumId w:val="25"/>
  </w:num>
  <w:num w:numId="12">
    <w:abstractNumId w:val="20"/>
  </w:num>
  <w:num w:numId="13">
    <w:abstractNumId w:val="0"/>
  </w:num>
  <w:num w:numId="14">
    <w:abstractNumId w:val="4"/>
  </w:num>
  <w:num w:numId="15">
    <w:abstractNumId w:val="7"/>
  </w:num>
  <w:num w:numId="16">
    <w:abstractNumId w:val="11"/>
  </w:num>
  <w:num w:numId="17">
    <w:abstractNumId w:val="24"/>
  </w:num>
  <w:num w:numId="18">
    <w:abstractNumId w:val="16"/>
  </w:num>
  <w:num w:numId="19">
    <w:abstractNumId w:val="14"/>
  </w:num>
  <w:num w:numId="20">
    <w:abstractNumId w:val="27"/>
  </w:num>
  <w:num w:numId="21">
    <w:abstractNumId w:val="10"/>
  </w:num>
  <w:num w:numId="22">
    <w:abstractNumId w:val="22"/>
  </w:num>
  <w:num w:numId="23">
    <w:abstractNumId w:val="26"/>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0"/>
  </w:num>
  <w:num w:numId="26">
    <w:abstractNumId w:val="29"/>
  </w:num>
  <w:num w:numId="27">
    <w:abstractNumId w:val="28"/>
  </w:num>
  <w:num w:numId="28">
    <w:abstractNumId w:val="6"/>
  </w:num>
  <w:num w:numId="29">
    <w:abstractNumId w:val="23"/>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20082"/>
    <w:rsid w:val="00121145"/>
    <w:rsid w:val="001217F7"/>
    <w:rsid w:val="00121B43"/>
    <w:rsid w:val="00123D57"/>
    <w:rsid w:val="001250F6"/>
    <w:rsid w:val="00125261"/>
    <w:rsid w:val="0012722C"/>
    <w:rsid w:val="00127B02"/>
    <w:rsid w:val="00130585"/>
    <w:rsid w:val="00131434"/>
    <w:rsid w:val="001317BF"/>
    <w:rsid w:val="001320C5"/>
    <w:rsid w:val="001320F3"/>
    <w:rsid w:val="001320F8"/>
    <w:rsid w:val="001326C8"/>
    <w:rsid w:val="00132CE2"/>
    <w:rsid w:val="001342CE"/>
    <w:rsid w:val="00135AFB"/>
    <w:rsid w:val="00135B0E"/>
    <w:rsid w:val="00135DB7"/>
    <w:rsid w:val="00136231"/>
    <w:rsid w:val="001363EA"/>
    <w:rsid w:val="001373B2"/>
    <w:rsid w:val="00137817"/>
    <w:rsid w:val="001402B7"/>
    <w:rsid w:val="001406A9"/>
    <w:rsid w:val="00141CBA"/>
    <w:rsid w:val="0014202B"/>
    <w:rsid w:val="00144968"/>
    <w:rsid w:val="00144ADD"/>
    <w:rsid w:val="00144EB0"/>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35D7"/>
    <w:rsid w:val="0017398D"/>
    <w:rsid w:val="00173D54"/>
    <w:rsid w:val="00173E56"/>
    <w:rsid w:val="00174333"/>
    <w:rsid w:val="00174A7D"/>
    <w:rsid w:val="00175249"/>
    <w:rsid w:val="00176777"/>
    <w:rsid w:val="00176D39"/>
    <w:rsid w:val="00176DE7"/>
    <w:rsid w:val="00177DC8"/>
    <w:rsid w:val="00177ECD"/>
    <w:rsid w:val="001810C8"/>
    <w:rsid w:val="0018272C"/>
    <w:rsid w:val="001827DA"/>
    <w:rsid w:val="00184CF8"/>
    <w:rsid w:val="00186D03"/>
    <w:rsid w:val="00190402"/>
    <w:rsid w:val="00190DB8"/>
    <w:rsid w:val="001923FB"/>
    <w:rsid w:val="00192C03"/>
    <w:rsid w:val="00193354"/>
    <w:rsid w:val="0019365D"/>
    <w:rsid w:val="001941F4"/>
    <w:rsid w:val="00194A4A"/>
    <w:rsid w:val="00195527"/>
    <w:rsid w:val="00195BDE"/>
    <w:rsid w:val="0019765D"/>
    <w:rsid w:val="001A0BEC"/>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0E09"/>
    <w:rsid w:val="001C1166"/>
    <w:rsid w:val="001C2557"/>
    <w:rsid w:val="001C2BF9"/>
    <w:rsid w:val="001C3114"/>
    <w:rsid w:val="001C3CF8"/>
    <w:rsid w:val="001C41FB"/>
    <w:rsid w:val="001C569D"/>
    <w:rsid w:val="001C594D"/>
    <w:rsid w:val="001C5F99"/>
    <w:rsid w:val="001C6073"/>
    <w:rsid w:val="001C6BB7"/>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BE9"/>
    <w:rsid w:val="001E0B0C"/>
    <w:rsid w:val="001E0F20"/>
    <w:rsid w:val="001E1560"/>
    <w:rsid w:val="001E1BC7"/>
    <w:rsid w:val="001E1EB7"/>
    <w:rsid w:val="001E206E"/>
    <w:rsid w:val="001E28DE"/>
    <w:rsid w:val="001E28EB"/>
    <w:rsid w:val="001E3607"/>
    <w:rsid w:val="001E3BDE"/>
    <w:rsid w:val="001E5B8C"/>
    <w:rsid w:val="001E6975"/>
    <w:rsid w:val="001E6BE4"/>
    <w:rsid w:val="001E6CD2"/>
    <w:rsid w:val="001E6D4A"/>
    <w:rsid w:val="001E77AE"/>
    <w:rsid w:val="001F00B2"/>
    <w:rsid w:val="001F01C5"/>
    <w:rsid w:val="001F0352"/>
    <w:rsid w:val="001F09B5"/>
    <w:rsid w:val="001F15AA"/>
    <w:rsid w:val="001F1DBD"/>
    <w:rsid w:val="001F1E20"/>
    <w:rsid w:val="001F2032"/>
    <w:rsid w:val="001F3E14"/>
    <w:rsid w:val="001F416E"/>
    <w:rsid w:val="001F424B"/>
    <w:rsid w:val="001F4C7E"/>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53D1"/>
    <w:rsid w:val="00215803"/>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6E09"/>
    <w:rsid w:val="002370ED"/>
    <w:rsid w:val="0024019E"/>
    <w:rsid w:val="00240233"/>
    <w:rsid w:val="00241548"/>
    <w:rsid w:val="00242983"/>
    <w:rsid w:val="00242AFF"/>
    <w:rsid w:val="00242CFF"/>
    <w:rsid w:val="00242D88"/>
    <w:rsid w:val="002433A7"/>
    <w:rsid w:val="002446D1"/>
    <w:rsid w:val="00245BA4"/>
    <w:rsid w:val="00250548"/>
    <w:rsid w:val="00250AFE"/>
    <w:rsid w:val="00250E9D"/>
    <w:rsid w:val="00252AFE"/>
    <w:rsid w:val="0025338F"/>
    <w:rsid w:val="00253F9D"/>
    <w:rsid w:val="00254F75"/>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E0E"/>
    <w:rsid w:val="0027118F"/>
    <w:rsid w:val="00271BCF"/>
    <w:rsid w:val="00272806"/>
    <w:rsid w:val="0027346A"/>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C5F"/>
    <w:rsid w:val="002C3C83"/>
    <w:rsid w:val="002C45B7"/>
    <w:rsid w:val="002C47F8"/>
    <w:rsid w:val="002C76F8"/>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9C9"/>
    <w:rsid w:val="002E5AD6"/>
    <w:rsid w:val="002E6D23"/>
    <w:rsid w:val="002F0FCF"/>
    <w:rsid w:val="002F14B7"/>
    <w:rsid w:val="002F152D"/>
    <w:rsid w:val="002F18CB"/>
    <w:rsid w:val="002F26EE"/>
    <w:rsid w:val="002F3FFE"/>
    <w:rsid w:val="002F41DB"/>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7DBA"/>
    <w:rsid w:val="003D02FC"/>
    <w:rsid w:val="003D0F21"/>
    <w:rsid w:val="003D103B"/>
    <w:rsid w:val="003D1135"/>
    <w:rsid w:val="003D137F"/>
    <w:rsid w:val="003D1EB0"/>
    <w:rsid w:val="003D2618"/>
    <w:rsid w:val="003D3B60"/>
    <w:rsid w:val="003D3C02"/>
    <w:rsid w:val="003D45FA"/>
    <w:rsid w:val="003D5486"/>
    <w:rsid w:val="003D54F4"/>
    <w:rsid w:val="003D58B5"/>
    <w:rsid w:val="003D5A33"/>
    <w:rsid w:val="003D5E1E"/>
    <w:rsid w:val="003D662D"/>
    <w:rsid w:val="003D6B04"/>
    <w:rsid w:val="003D74F4"/>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6CF"/>
    <w:rsid w:val="00403FBE"/>
    <w:rsid w:val="004048A7"/>
    <w:rsid w:val="00406301"/>
    <w:rsid w:val="00406738"/>
    <w:rsid w:val="004069E7"/>
    <w:rsid w:val="00406BA4"/>
    <w:rsid w:val="00407105"/>
    <w:rsid w:val="00407227"/>
    <w:rsid w:val="004076D6"/>
    <w:rsid w:val="004079D1"/>
    <w:rsid w:val="00407F29"/>
    <w:rsid w:val="0041037E"/>
    <w:rsid w:val="004103F5"/>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5091"/>
    <w:rsid w:val="00445856"/>
    <w:rsid w:val="004469C5"/>
    <w:rsid w:val="0044707A"/>
    <w:rsid w:val="00447667"/>
    <w:rsid w:val="004511B6"/>
    <w:rsid w:val="00453D2C"/>
    <w:rsid w:val="00454134"/>
    <w:rsid w:val="00454D7F"/>
    <w:rsid w:val="0045519E"/>
    <w:rsid w:val="00455446"/>
    <w:rsid w:val="0045572F"/>
    <w:rsid w:val="00456933"/>
    <w:rsid w:val="0046022D"/>
    <w:rsid w:val="004603F8"/>
    <w:rsid w:val="00460E3B"/>
    <w:rsid w:val="00461828"/>
    <w:rsid w:val="00461836"/>
    <w:rsid w:val="00463232"/>
    <w:rsid w:val="004645DC"/>
    <w:rsid w:val="00465BF8"/>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C6C35"/>
    <w:rsid w:val="004C7E38"/>
    <w:rsid w:val="004D0293"/>
    <w:rsid w:val="004D085B"/>
    <w:rsid w:val="004D0932"/>
    <w:rsid w:val="004D17DD"/>
    <w:rsid w:val="004D1BC3"/>
    <w:rsid w:val="004D1C1D"/>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BC4"/>
    <w:rsid w:val="004F5C22"/>
    <w:rsid w:val="004F5F52"/>
    <w:rsid w:val="004F64B2"/>
    <w:rsid w:val="004F695A"/>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75BA"/>
    <w:rsid w:val="005C0432"/>
    <w:rsid w:val="005C0642"/>
    <w:rsid w:val="005C0DD3"/>
    <w:rsid w:val="005C0EA0"/>
    <w:rsid w:val="005C11C8"/>
    <w:rsid w:val="005C12E4"/>
    <w:rsid w:val="005C1B5B"/>
    <w:rsid w:val="005C33C8"/>
    <w:rsid w:val="005C3728"/>
    <w:rsid w:val="005C3C47"/>
    <w:rsid w:val="005C467F"/>
    <w:rsid w:val="005C4693"/>
    <w:rsid w:val="005C4C6E"/>
    <w:rsid w:val="005C6777"/>
    <w:rsid w:val="005C6DA0"/>
    <w:rsid w:val="005C777A"/>
    <w:rsid w:val="005C7CC0"/>
    <w:rsid w:val="005D0263"/>
    <w:rsid w:val="005D05A8"/>
    <w:rsid w:val="005D0B2E"/>
    <w:rsid w:val="005D2C20"/>
    <w:rsid w:val="005D3344"/>
    <w:rsid w:val="005D44C8"/>
    <w:rsid w:val="005D628D"/>
    <w:rsid w:val="005D6A2E"/>
    <w:rsid w:val="005D6C94"/>
    <w:rsid w:val="005E14D4"/>
    <w:rsid w:val="005E16E6"/>
    <w:rsid w:val="005E1EE4"/>
    <w:rsid w:val="005E24F6"/>
    <w:rsid w:val="005E2541"/>
    <w:rsid w:val="005E3721"/>
    <w:rsid w:val="005E4988"/>
    <w:rsid w:val="005E4DD8"/>
    <w:rsid w:val="005E5089"/>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163D"/>
    <w:rsid w:val="00601DDE"/>
    <w:rsid w:val="00603AEF"/>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27D8"/>
    <w:rsid w:val="0062501C"/>
    <w:rsid w:val="006250B1"/>
    <w:rsid w:val="00626473"/>
    <w:rsid w:val="00626D0E"/>
    <w:rsid w:val="00627739"/>
    <w:rsid w:val="00627BCA"/>
    <w:rsid w:val="00631FB8"/>
    <w:rsid w:val="00632529"/>
    <w:rsid w:val="00632C87"/>
    <w:rsid w:val="00633F2F"/>
    <w:rsid w:val="006346CB"/>
    <w:rsid w:val="00634D62"/>
    <w:rsid w:val="006353A4"/>
    <w:rsid w:val="00635BE7"/>
    <w:rsid w:val="00636247"/>
    <w:rsid w:val="00642356"/>
    <w:rsid w:val="00644E1F"/>
    <w:rsid w:val="00646213"/>
    <w:rsid w:val="0064648F"/>
    <w:rsid w:val="00647361"/>
    <w:rsid w:val="006476C5"/>
    <w:rsid w:val="0065044E"/>
    <w:rsid w:val="0065125C"/>
    <w:rsid w:val="0065232C"/>
    <w:rsid w:val="006524E4"/>
    <w:rsid w:val="00652C33"/>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B9D"/>
    <w:rsid w:val="006E5728"/>
    <w:rsid w:val="006E6E7B"/>
    <w:rsid w:val="006E7C1F"/>
    <w:rsid w:val="006E7FC7"/>
    <w:rsid w:val="006F0ADB"/>
    <w:rsid w:val="006F0E05"/>
    <w:rsid w:val="006F2012"/>
    <w:rsid w:val="006F24D8"/>
    <w:rsid w:val="006F3088"/>
    <w:rsid w:val="006F37EA"/>
    <w:rsid w:val="006F420F"/>
    <w:rsid w:val="006F5832"/>
    <w:rsid w:val="006F5D8B"/>
    <w:rsid w:val="006F6438"/>
    <w:rsid w:val="006F73FB"/>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70639"/>
    <w:rsid w:val="007707A9"/>
    <w:rsid w:val="00770929"/>
    <w:rsid w:val="00772261"/>
    <w:rsid w:val="0077300B"/>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B02"/>
    <w:rsid w:val="00783CD2"/>
    <w:rsid w:val="00784EB5"/>
    <w:rsid w:val="007860CD"/>
    <w:rsid w:val="007862DE"/>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76AB"/>
    <w:rsid w:val="007B09A6"/>
    <w:rsid w:val="007B1110"/>
    <w:rsid w:val="007B14B4"/>
    <w:rsid w:val="007B2B85"/>
    <w:rsid w:val="007B317D"/>
    <w:rsid w:val="007B392C"/>
    <w:rsid w:val="007B4FF7"/>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F0512"/>
    <w:rsid w:val="007F0C31"/>
    <w:rsid w:val="007F1CF1"/>
    <w:rsid w:val="007F2020"/>
    <w:rsid w:val="007F349E"/>
    <w:rsid w:val="007F42D1"/>
    <w:rsid w:val="007F4F58"/>
    <w:rsid w:val="008004B6"/>
    <w:rsid w:val="008007E8"/>
    <w:rsid w:val="00801983"/>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3243"/>
    <w:rsid w:val="0082330C"/>
    <w:rsid w:val="00824B51"/>
    <w:rsid w:val="00825784"/>
    <w:rsid w:val="00825B19"/>
    <w:rsid w:val="00825EC8"/>
    <w:rsid w:val="0082735A"/>
    <w:rsid w:val="0082799E"/>
    <w:rsid w:val="00827A0B"/>
    <w:rsid w:val="00827A4F"/>
    <w:rsid w:val="0083008F"/>
    <w:rsid w:val="0083068F"/>
    <w:rsid w:val="00830FD5"/>
    <w:rsid w:val="0083137E"/>
    <w:rsid w:val="0083284C"/>
    <w:rsid w:val="00834D7A"/>
    <w:rsid w:val="00835426"/>
    <w:rsid w:val="00836F34"/>
    <w:rsid w:val="00837A1D"/>
    <w:rsid w:val="00837FA0"/>
    <w:rsid w:val="00840C4F"/>
    <w:rsid w:val="00841B0A"/>
    <w:rsid w:val="00842B81"/>
    <w:rsid w:val="00843822"/>
    <w:rsid w:val="00844C67"/>
    <w:rsid w:val="00844F38"/>
    <w:rsid w:val="008451CB"/>
    <w:rsid w:val="00850564"/>
    <w:rsid w:val="00850E16"/>
    <w:rsid w:val="0085183F"/>
    <w:rsid w:val="00853107"/>
    <w:rsid w:val="008534FF"/>
    <w:rsid w:val="00854034"/>
    <w:rsid w:val="00854850"/>
    <w:rsid w:val="00856100"/>
    <w:rsid w:val="00856170"/>
    <w:rsid w:val="00856A0D"/>
    <w:rsid w:val="00857A33"/>
    <w:rsid w:val="0086017C"/>
    <w:rsid w:val="008614FB"/>
    <w:rsid w:val="00862980"/>
    <w:rsid w:val="00863F63"/>
    <w:rsid w:val="00864390"/>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400"/>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960"/>
    <w:rsid w:val="00992C09"/>
    <w:rsid w:val="009930CE"/>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720"/>
    <w:rsid w:val="009F4E93"/>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17D8B"/>
    <w:rsid w:val="00A17EA0"/>
    <w:rsid w:val="00A20010"/>
    <w:rsid w:val="00A20BF8"/>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254"/>
    <w:rsid w:val="00A35F44"/>
    <w:rsid w:val="00A36788"/>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836"/>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D01"/>
    <w:rsid w:val="00B165CF"/>
    <w:rsid w:val="00B16ECB"/>
    <w:rsid w:val="00B17F1D"/>
    <w:rsid w:val="00B2021A"/>
    <w:rsid w:val="00B20358"/>
    <w:rsid w:val="00B21D13"/>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6DE8"/>
    <w:rsid w:val="00B7092A"/>
    <w:rsid w:val="00B70F01"/>
    <w:rsid w:val="00B733CA"/>
    <w:rsid w:val="00B737B8"/>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674B"/>
    <w:rsid w:val="00B97B17"/>
    <w:rsid w:val="00B97C40"/>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49A7"/>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2BE"/>
    <w:rsid w:val="00BE35C3"/>
    <w:rsid w:val="00BE3F39"/>
    <w:rsid w:val="00BE66B7"/>
    <w:rsid w:val="00BE73EE"/>
    <w:rsid w:val="00BE76ED"/>
    <w:rsid w:val="00BE7FBD"/>
    <w:rsid w:val="00BF0398"/>
    <w:rsid w:val="00BF0480"/>
    <w:rsid w:val="00BF1F26"/>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378D"/>
    <w:rsid w:val="00C639F9"/>
    <w:rsid w:val="00C654D6"/>
    <w:rsid w:val="00C65619"/>
    <w:rsid w:val="00C65F02"/>
    <w:rsid w:val="00C66444"/>
    <w:rsid w:val="00C7036D"/>
    <w:rsid w:val="00C704E7"/>
    <w:rsid w:val="00C70AA4"/>
    <w:rsid w:val="00C7186C"/>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E05"/>
    <w:rsid w:val="00C935A7"/>
    <w:rsid w:val="00C94470"/>
    <w:rsid w:val="00C944B2"/>
    <w:rsid w:val="00C9532B"/>
    <w:rsid w:val="00C95712"/>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5E3E"/>
    <w:rsid w:val="00D2678E"/>
    <w:rsid w:val="00D26E9F"/>
    <w:rsid w:val="00D26F43"/>
    <w:rsid w:val="00D26F50"/>
    <w:rsid w:val="00D27268"/>
    <w:rsid w:val="00D27C99"/>
    <w:rsid w:val="00D33324"/>
    <w:rsid w:val="00D3359D"/>
    <w:rsid w:val="00D335C8"/>
    <w:rsid w:val="00D335E1"/>
    <w:rsid w:val="00D344F3"/>
    <w:rsid w:val="00D353CE"/>
    <w:rsid w:val="00D3571D"/>
    <w:rsid w:val="00D35FB6"/>
    <w:rsid w:val="00D36256"/>
    <w:rsid w:val="00D36B40"/>
    <w:rsid w:val="00D3703F"/>
    <w:rsid w:val="00D372A1"/>
    <w:rsid w:val="00D40FC8"/>
    <w:rsid w:val="00D41391"/>
    <w:rsid w:val="00D41E97"/>
    <w:rsid w:val="00D42B80"/>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4582"/>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7DF1"/>
    <w:rsid w:val="00DA7FD0"/>
    <w:rsid w:val="00DB0298"/>
    <w:rsid w:val="00DB047C"/>
    <w:rsid w:val="00DB065A"/>
    <w:rsid w:val="00DB0FEF"/>
    <w:rsid w:val="00DB1745"/>
    <w:rsid w:val="00DB20DB"/>
    <w:rsid w:val="00DB2474"/>
    <w:rsid w:val="00DB30C8"/>
    <w:rsid w:val="00DB4FEF"/>
    <w:rsid w:val="00DB5109"/>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C7A"/>
    <w:rsid w:val="00DE7E35"/>
    <w:rsid w:val="00DF003E"/>
    <w:rsid w:val="00DF0441"/>
    <w:rsid w:val="00DF093A"/>
    <w:rsid w:val="00DF1397"/>
    <w:rsid w:val="00DF192C"/>
    <w:rsid w:val="00DF2EAF"/>
    <w:rsid w:val="00DF32E7"/>
    <w:rsid w:val="00DF3504"/>
    <w:rsid w:val="00DF4410"/>
    <w:rsid w:val="00DF4A72"/>
    <w:rsid w:val="00DF5280"/>
    <w:rsid w:val="00DF5555"/>
    <w:rsid w:val="00DF7BC8"/>
    <w:rsid w:val="00E000B0"/>
    <w:rsid w:val="00E00C5E"/>
    <w:rsid w:val="00E016C1"/>
    <w:rsid w:val="00E01C01"/>
    <w:rsid w:val="00E024E7"/>
    <w:rsid w:val="00E041C8"/>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37656"/>
    <w:rsid w:val="00E401DB"/>
    <w:rsid w:val="00E40F95"/>
    <w:rsid w:val="00E41B7A"/>
    <w:rsid w:val="00E439FB"/>
    <w:rsid w:val="00E43ED5"/>
    <w:rsid w:val="00E45085"/>
    <w:rsid w:val="00E46973"/>
    <w:rsid w:val="00E47450"/>
    <w:rsid w:val="00E47533"/>
    <w:rsid w:val="00E50053"/>
    <w:rsid w:val="00E52117"/>
    <w:rsid w:val="00E523AF"/>
    <w:rsid w:val="00E52B9B"/>
    <w:rsid w:val="00E52CB9"/>
    <w:rsid w:val="00E537DA"/>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679"/>
    <w:rsid w:val="00E914B4"/>
    <w:rsid w:val="00E918DB"/>
    <w:rsid w:val="00E922C7"/>
    <w:rsid w:val="00E92301"/>
    <w:rsid w:val="00E93940"/>
    <w:rsid w:val="00E946D9"/>
    <w:rsid w:val="00E95385"/>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F24"/>
    <w:rsid w:val="00F100F4"/>
    <w:rsid w:val="00F10160"/>
    <w:rsid w:val="00F126B1"/>
    <w:rsid w:val="00F130B0"/>
    <w:rsid w:val="00F13499"/>
    <w:rsid w:val="00F136E0"/>
    <w:rsid w:val="00F137CA"/>
    <w:rsid w:val="00F13E2D"/>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85A"/>
    <w:rsid w:val="00F32E2F"/>
    <w:rsid w:val="00F335E2"/>
    <w:rsid w:val="00F33FF2"/>
    <w:rsid w:val="00F36A17"/>
    <w:rsid w:val="00F36BF6"/>
    <w:rsid w:val="00F37422"/>
    <w:rsid w:val="00F376C6"/>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C1F"/>
    <w:rsid w:val="00FA111C"/>
    <w:rsid w:val="00FA3C74"/>
    <w:rsid w:val="00FA5039"/>
    <w:rsid w:val="00FA5A1C"/>
    <w:rsid w:val="00FA6F75"/>
    <w:rsid w:val="00FA7886"/>
    <w:rsid w:val="00FA7F5C"/>
    <w:rsid w:val="00FB00BF"/>
    <w:rsid w:val="00FB04D5"/>
    <w:rsid w:val="00FB1F60"/>
    <w:rsid w:val="00FB22B3"/>
    <w:rsid w:val="00FB2A9E"/>
    <w:rsid w:val="00FB3411"/>
    <w:rsid w:val="00FB3607"/>
    <w:rsid w:val="00FB381A"/>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14F0"/>
    <w:rsid w:val="00FC188B"/>
    <w:rsid w:val="00FC1A2D"/>
    <w:rsid w:val="00FC3057"/>
    <w:rsid w:val="00FC3A59"/>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1.@Targ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5AE2A-D210-492B-B55F-410DD03D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14379</TotalTime>
  <Pages>51</Pages>
  <Words>7563</Words>
  <Characters>43111</Characters>
  <Application>Microsoft Office Word</Application>
  <DocSecurity>0</DocSecurity>
  <Lines>359</Lines>
  <Paragraphs>101</Paragraphs>
  <ScaleCrop>false</ScaleCrop>
  <Company>China</Company>
  <LinksUpToDate>false</LinksUpToDate>
  <CharactersWithSpaces>50573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4109</cp:revision>
  <dcterms:created xsi:type="dcterms:W3CDTF">2014-10-29T12:08:00Z</dcterms:created>
  <dcterms:modified xsi:type="dcterms:W3CDTF">2018-05-21T12:37:00Z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