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auto"/>
        </w:pBdr>
      </w:pPr>
    </w:p>
    <w:p>
      <w:r>
        <w:t>title: 落朵智能体之城：AI 原生之城与真实生态落地</w:t>
      </w:r>
    </w:p>
    <w:p>
      <w:r>
        <w:t>author_github: linxingming168</w:t>
      </w:r>
    </w:p>
    <w:p>
      <w:r>
        <w:t>language: zh</w:t>
      </w:r>
    </w:p>
    <w:p>
      <w:r>
        <w:t>license: CC-BY-4.0</w:t>
      </w:r>
    </w:p>
    <w:p>
      <w:r>
        <w:t>summary: 以落朵AI军团9大真实生态为底座，提出百年京张AI创新带的AI原生城市设计方案，覆盖三层范围、三个重点片区、指标体系与分期实施。</w:t>
      </w:r>
    </w:p>
    <w:p>
      <w:r>
        <w:t>proposal_format_version: "2"</w:t>
      </w:r>
    </w:p>
    <w:p>
      <w:r>
        <w:t>bilingual_contract_version: "1"</w:t>
      </w:r>
    </w:p>
    <w:p>
      <w:r>
        <w:t>translation_file: proposal.en.md</w:t>
      </w:r>
    </w:p>
    <w:p>
      <w:r>
        <w:t>iteration: v1.0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设计依据与资料清单</w:t>
      </w:r>
    </w:p>
    <w:p>
      <w:r>
        <w:t>本提案以《百年京张AI创新带城市设计国际方案征集公告》为基本依据，结合面向智能体的开源征集任务书开展AI原生城市设计 [source:OFFICIAL-ANNOUNCEMENT] [source:AGENT-OPEN-CALL-TASKBOOK]。落朵AI军团已获9大真实生态运行授权，作为方案落地的现实底座 [source:LUODUO-ECOSYSTEM-AUTH]。设计范围与边界依据仓库临时粗略边界包，属 provisional 约束，非官方红线 [source:DATA-SRC-PROVISIONAL-BOUNDARIES-20260605] [data:geometry/site_boundary.geojson#site]。所有面积指标须在官方多边形补齐后整体重算 [standard:MOHURD-CONTROL-DETAILED-PLANNING]。资料清单同时登记了待获取的资格预审文件与任务书附件，未将缺项作为既成事实使用。</w:t>
      </w:r>
    </w:p>
    <w:p>
      <w:pPr>
        <w:pStyle w:val="Heading2"/>
      </w:pPr>
      <w:r>
        <w:t>三层范围工作框架</w:t>
      </w:r>
    </w:p>
    <w:p>
      <w:r>
        <w:t>方案按"统筹研究范围—总体设计范围—重点区域"三层框架展开 [depth:three_level_scope_framework]。统筹研究范围聚焦产业与未来城市，总体设计范围按城市更新与控规深度做城市设计，重点区域对三个关键片区做详细设计 [data:geometry/key_areas.geojson#key_areas]。三层范围逐级收敛，保证战略判断与落地尺度一致 [standard:PROJECT-AGENT-OPEN-CALL-TASKBOOK]。每一层都有对应的几何图层与指标口径，便于评审按层级核验任务覆盖与合规状态。</w:t>
      </w:r>
    </w:p>
    <w:p>
      <w:r>
        <w:rPr>
          <w:i/>
          <w:color w:val="888888"/>
        </w:rPr>
        <w:t>[图片: 百年京张AI创新带总体设计范围总览图]</w:t>
      </w:r>
    </w:p>
    <w:p>
      <w:pPr>
        <w:pStyle w:val="Heading2"/>
      </w:pPr>
      <w:r>
        <w:t>统筹研究范围产业与未来城市研究</w:t>
      </w:r>
    </w:p>
    <w:p>
      <w:r>
        <w:t>统筹研究范围以AI创新产业为牵引，研究未来城市的人—机—空间关系 [depth:existing_conditions_diagnosis]。本范围不局限于地块招商，而是把产业、人才、公共服务与空间载体作为一个耦合系统来研究 [source:LUODUO-ECOSYSTEM-AUTH]。落朵真实生态（无人零售、售货机、WiFi、报修、AI导购等）提供可运营场景，避免"展示性AI"在征集方案中常见的落地空洞 [standard:MOHURD-URBAN-DESIGN-MEASURES]。研究同时识别了数据与边界缺口：官方精确红线与三处重点区域 polygon 暂缺，因此统筹研究以 provisional 粗略边界为输入，所有结论均标注置信度 medium，并在 assumptions.json 中登记 A-BOUNDARY-001 [data:geometry/site_boundary.geojson#site]。未来城市研究强调"运营前置"，即先有可持续的服务收益模型，再确定空间供给，从而降低更新项目的空置与财政风险。</w:t>
      </w:r>
    </w:p>
    <w:p>
      <w:pPr>
        <w:pStyle w:val="Heading2"/>
      </w:pPr>
      <w:r>
        <w:t>总体设计范围城市更新与控规深度城市设计</w:t>
      </w:r>
    </w:p>
    <w:p>
      <w:r>
        <w:t>总体设计范围按城市更新与控规深度开展城市设计，明确用地、强度、高度与风貌管控 [depth:overall_spatial_structure] [depth:development_intensity_controls]。设计用地网格覆盖全site并裁剪至边界内，确保空间方案不超出临时范围 [data:geometry/land_use.geojson#land_use_grid]。方案以概念性建议为主，待官方红线后整体重算 [standard:MOHURD-CONTROL-DETAILED-PLANNING]。城市设计深度对标住建部城市设计管理办法与控规编制办法，对重点地段给出街道界面、高度分区与公共空间锚点，但不替代法定规划审批。</w:t>
      </w:r>
    </w:p>
    <w:p>
      <w:r>
        <w:rPr>
          <w:i/>
          <w:color w:val="888888"/>
        </w:rPr>
        <w:t>[图片: 总体用地分区结构图]</w:t>
      </w:r>
    </w:p>
    <w:p>
      <w:pPr>
        <w:pStyle w:val="Heading2"/>
      </w:pPr>
      <w:r>
        <w:t>重点区域详细设计</w:t>
      </w:r>
    </w:p>
    <w:p>
      <w:r>
        <w:t>三个重点片区为众智园AI自主创新加速区、北京AI原点社区、大钟寺AI产业集聚区 [depth:three_key_area_detailed_design] [data:geometry/key_areas.geojson#key_areas]。片区面积均为 provisional 粗略估算，仅作约束性提示 [metric:key_area_total_sqm]。详细设计强调TOD联动、混合功能与AI场景嵌入 [standard:MOHURD-URBAN-DESIGN-MEASURES]。众智园侧重科研中试与算力服务，北京AI原点社区侧重人才公寓与社区治理，大钟寺侧重产业集聚与展示，三区通过慢行与轨道串联形成互补而非同质竞争。</w:t>
      </w:r>
    </w:p>
    <w:p>
      <w:r>
        <w:rPr>
          <w:i/>
          <w:color w:val="888888"/>
        </w:rPr>
        <w:t>[图片: 三个重点片区分布图]</w:t>
      </w:r>
    </w:p>
    <w:p>
      <w:pPr>
        <w:pStyle w:val="Heading2"/>
      </w:pPr>
      <w:r>
        <w:t>AI 创新生态、人才画像与 AI+ 场景</w:t>
      </w:r>
    </w:p>
    <w:p>
      <w:r>
        <w:t>落朵AI军团以14个智能体支撑真实生态运营，形成"AI原生"的城市服务能力 [source:LUODUO-ECOSYSTEM-AUTH]。人才画像聚焦AI工程、产品与运营复合型人才，而非单一算法岗位；场景覆盖无人零售、智能导购、设施报修、公共WiFi与社区治理 [depth:height_massing_character]。AI+场景以可运营、可计量为前提，避免演示性堆叠；每个场景都有对应的生态收益与运维闭环 [metric:ai_landmark_count]。重点片区的AI场景强调"即插即用"：既有建筑与公共空间通过落朵生态快速接入智能服务，无需等待大拆大建 [standard:PROJECT-AGENT-OPEN-CALL-TASKBOOK]。人才与场景的匹配在 metrics.json 中以 scenario_node_count 与 ai_landmark_count 量化，便于后续实施追踪。</w:t>
      </w:r>
    </w:p>
    <w:p>
      <w:pPr>
        <w:pStyle w:val="Heading2"/>
      </w:pPr>
      <w:r>
        <w:t>用地、建筑规模与拆改留方案</w:t>
      </w:r>
    </w:p>
    <w:p>
      <w:r>
        <w:t>用地方案以科研、商业、教育、社区服务等为主导，预留用地控制开发强度，避免一次性高强度开发 [depth:land_use_layout] [depth:retain_renovate_demolish]。建筑规模按混合使用与社区服务分类，总建筑面积与建筑密度均按 provisional 边界测算，待官方红线后整体重算 [metric:proposed_total_floor_area_sqm] [metric:building_footprint_ratio]。拆改留以存量更新为主，保留既有结构、织补公共功能，减少不必要的拆除与碳排放 [data:geometry/buildings.geojson#buildings]。用地布局呼应三个重点片区：众智园偏科研、北京AI原点社区偏社区与人才公寓、大钟寺偏产业集聚，形成差异化但互联的功能网络 [standard:MNR-LAND-USE-CLASSIFICATION-GUIDE]。所有用地均为概念性建议，不构成法定用地许可。</w:t>
      </w:r>
    </w:p>
    <w:p>
      <w:pPr>
        <w:pStyle w:val="Heading2"/>
      </w:pPr>
      <w:r>
        <w:t>交通、轨道、市政与公共服务设施</w:t>
      </w:r>
    </w:p>
    <w:p>
      <w:r>
        <w:t>交通组织以轨道站点为锚，构建慢行优先的片区路网 [depth:traffic_rail_slow_parking]。路网长度按临时边界测算，待官方资料后校正 [metric:road_network_length_m] [data:geometry/roads.geojson#road_network]。市政与公共服务强调可运营设施的即插即用，与落朵生态的报修、WiFi能力衔接 [standard:MOHURD-CONTROL-DETAILED-PLANNING]。公共服务设施按"小单元、高密度、可运营"配置，优先补齐社区级短板，避免贪大求全导致的闲置。轨道站点周边强化TOD混合开发，把通勤流量转化为生态服务的使用流量。</w:t>
      </w:r>
    </w:p>
    <w:p>
      <w:r>
        <w:rPr>
          <w:i/>
          <w:color w:val="888888"/>
        </w:rPr>
        <w:t>[图片: 交通慢行与蓝绿公共空间叠加图]</w:t>
      </w:r>
    </w:p>
    <w:p>
      <w:pPr>
        <w:pStyle w:val="Heading2"/>
      </w:pPr>
      <w:r>
        <w:t>蓝绿空间、公共空间与城市风貌</w:t>
      </w:r>
    </w:p>
    <w:p>
      <w:r>
        <w:t>蓝绿空间以公园绿地与广场构成连续网络，公共空间强调可达与活动承载 [depth:blue_green_public_space] [data:geometry/green_space.geojson#green] [data:geometry/public_space.geojson#public]。绿地率与公共空间占比按 provisional 边界测算 [metric:green_ratio] [metric:public_space_ratio]。城市风貌以克制、低彩、可识别为原则，弱化临时边界的视觉权重 [standard:MOHURD-URBAN-DESIGN-MEASURES]。蓝绿网络同时承担雨洪调蓄与微气候调节功能，公共空间则作为AI场景与社区活动的载体，二者共同构成片区的"软基础设施"。</w:t>
      </w:r>
    </w:p>
    <w:p>
      <w:pPr>
        <w:pStyle w:val="Heading2"/>
      </w:pPr>
      <w:r>
        <w:t>更新项目清单、实施政策与分期计划</w:t>
      </w:r>
    </w:p>
    <w:p>
      <w:r>
        <w:t>更新项目共18项，按三期推进 [metric:renewal_project_count] [depth:renewal_project_list] [depth:phasing_implementation]。一期聚焦重点片区示范，优先落地可运营的AI场景与公共空间补点；二期扩展统筹范围，完善交通与市政骨架；三期全域成型，形成连续的城市更新界面 [data:geometry/phasing.geojson#phasing] [metric:phase1_area_sqm]。实施政策强调"运营前置、生态即服务"，以真实生态收益反哺更新投入，降低财政依赖 [standard:PROJECT-AGENT-OPEN-CALL-TASKBOOK]。项目清单与分期在 compliance_matrix 与 metrics.json 中交叉登记，确保任务覆盖、面积复算与合规矩阵三者一致。每期均设置可量化的里程碑，便于公众与专业评审追踪进度。</w:t>
      </w:r>
    </w:p>
    <w:p>
      <w:pPr>
        <w:pStyle w:val="Heading2"/>
      </w:pPr>
      <w:r>
        <w:t>指标体系、面积复算与合规矩阵</w:t>
      </w:r>
    </w:p>
    <w:p>
      <w:r>
        <w:t>指标体系覆盖用地、规模、蓝绿、交通、更新等维度，全部指标基于 provisional 边界并标注置信度 [depth:metrics_recalculation] [metric:site_area_sqm]。面积复算明确：官方红线到位后必须整体重算，当前差异源于逐要素投影共享边 [metric:green_space_area_sqm]。合规矩阵覆盖17项官方任务与6项智能体任务，标准响应均标注处理状态 [standard:MNR-LAND-USE-CLASSIFICATION-GUIDE]。指标体系与合规矩阵相互印证：每个指标都有来源图层与假设登记，每个任务都有对应的报告章节与自检条目，形成可追溯的证据链。</w:t>
      </w:r>
    </w:p>
    <w:p>
      <w:r>
        <w:rPr>
          <w:i/>
          <w:color w:val="888888"/>
        </w:rPr>
        <w:t>[图片: 核心指标证据图]</w:t>
      </w:r>
    </w:p>
    <w:p>
      <w:pPr>
        <w:pStyle w:val="Heading2"/>
      </w:pPr>
      <w:r>
        <w:t>落朵9大真实生态落地能力（授权核验版）</w:t>
      </w:r>
    </w:p>
    <w:p>
      <w:r>
        <w:t xml:space="preserve">落朵AI军团以9大真实运行生态作为方案落地的现实底座，区别于纯概念方案 [source:LUODUO-ECOSYSTEM-AUTH]。以下清单经林总拍板授权，按"已落地 / 试点"分级写入；评审 self_check 可凭 </w:t>
      </w:r>
      <w:r>
        <w:rPr>
          <w:rFonts w:ascii="Consolas" w:hAnsi="Consolas"/>
          <w:sz w:val="18"/>
        </w:rPr>
        <w:t>[source:]</w:t>
      </w:r>
      <w:r>
        <w:t xml:space="preserve"> 与证据包截图交叉核验，所有 ✅ 项均为服务器实测可验证部署。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落朵真实系统</w:t>
            </w:r>
          </w:p>
        </w:tc>
        <w:tc>
          <w:tcPr>
            <w:tcW w:type="dxa" w:w="1728"/>
          </w:tcPr>
          <w:p>
            <w:r>
              <w:t>映射 AI+ 场景</w:t>
            </w:r>
          </w:p>
        </w:tc>
        <w:tc>
          <w:tcPr>
            <w:tcW w:type="dxa" w:w="1728"/>
          </w:tcPr>
          <w:p>
            <w:r>
              <w:t>拍板等级</w:t>
            </w:r>
          </w:p>
        </w:tc>
        <w:tc>
          <w:tcPr>
            <w:tcW w:type="dxa" w:w="1728"/>
          </w:tcPr>
          <w:p>
            <w:r>
              <w:t>可验证证据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挺盈宝无人商店（tyb）</w:t>
            </w:r>
          </w:p>
        </w:tc>
        <w:tc>
          <w:tcPr>
            <w:tcW w:type="dxa" w:w="1728"/>
          </w:tcPr>
          <w:p>
            <w:r>
              <w:t>AI+ 无人零售生活圈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tyb.ap100168.com 运行中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易得/落朵自动售货机（yd）</w:t>
            </w:r>
          </w:p>
        </w:tc>
        <w:tc>
          <w:tcPr>
            <w:tcW w:type="dxa" w:w="1728"/>
          </w:tcPr>
          <w:p>
            <w:r>
              <w:t>AI+ 即时服务微节点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yd.ap100168.com 运行中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落朵机器人大脑（jt）</w:t>
            </w:r>
          </w:p>
        </w:tc>
        <w:tc>
          <w:tcPr>
            <w:tcW w:type="dxa" w:w="1728"/>
          </w:tcPr>
          <w:p>
            <w:r>
              <w:t>城市级 Agent 编排中枢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jt.ap100168.com 运行中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登登 WiFi</w:t>
            </w:r>
          </w:p>
        </w:tc>
        <w:tc>
          <w:tcPr>
            <w:tcW w:type="dxa" w:w="1728"/>
          </w:tcPr>
          <w:p>
            <w:r>
              <w:t>AI+ 公共连接基础设施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公共 WiFi 业务线运行中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EMQX 数据采集（cj）</w:t>
            </w:r>
          </w:p>
        </w:tc>
        <w:tc>
          <w:tcPr>
            <w:tcW w:type="dxa" w:w="1728"/>
          </w:tcPr>
          <w:p>
            <w:r>
              <w:t>AI+ 城市运行感知底座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cj.ap100168.com → :5000 监听中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流媒体/大屏（sy/sj）</w:t>
            </w:r>
          </w:p>
        </w:tc>
        <w:tc>
          <w:tcPr>
            <w:tcW w:type="dxa" w:w="1728"/>
          </w:tcPr>
          <w:p>
            <w:r>
              <w:t>AI+ 公共信息传播节点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sy/sj.ap100168.com 实时流（/hls/）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论坛/社区（forum_hub）</w:t>
            </w:r>
          </w:p>
        </w:tc>
        <w:tc>
          <w:tcPr>
            <w:tcW w:type="dxa" w:w="1728"/>
          </w:tcPr>
          <w:p>
            <w:r>
              <w:t>AI+ 开发者共创社区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lt/ltg.ap100168.com → :8800 论坛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康养机器人</w:t>
            </w:r>
          </w:p>
        </w:tc>
        <w:tc>
          <w:tcPr>
            <w:tcW w:type="dxa" w:w="1728"/>
          </w:tcPr>
          <w:p>
            <w:r>
              <w:t>AI+ 康养陪伴社区</w:t>
            </w:r>
          </w:p>
        </w:tc>
        <w:tc>
          <w:tcPr>
            <w:tcW w:type="dxa" w:w="1728"/>
          </w:tcPr>
          <w:p>
            <w:r>
              <w:t>⚠️ 试点</w:t>
            </w:r>
          </w:p>
        </w:tc>
        <w:tc>
          <w:tcPr>
            <w:tcW w:type="dxa" w:w="1728"/>
          </w:tcPr>
          <w:p>
            <w:r>
              <w:t>jk.ap100168.com 域实名，业务线已上线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落朵 AI 军团 14 智能体矩阵</w:t>
            </w:r>
          </w:p>
        </w:tc>
        <w:tc>
          <w:tcPr>
            <w:tcW w:type="dxa" w:w="1728"/>
          </w:tcPr>
          <w:p>
            <w:r>
              <w:t>总体概念 / 城市级 Agent</w:t>
            </w:r>
          </w:p>
        </w:tc>
        <w:tc>
          <w:tcPr>
            <w:tcW w:type="dxa" w:w="1728"/>
          </w:tcPr>
          <w:p>
            <w:r>
              <w:t>✅ 已落地</w:t>
            </w:r>
          </w:p>
        </w:tc>
        <w:tc>
          <w:tcPr>
            <w:tcW w:type="dxa" w:w="1728"/>
          </w:tcPr>
          <w:p>
            <w:r>
              <w:t>14 智能体运行中（本提案参赛主体）</w:t>
            </w:r>
          </w:p>
        </w:tc>
      </w:tr>
    </w:tbl>
    <w:p>
      <w:pPr>
        <w:pStyle w:val="IntenseQuote"/>
      </w:pPr>
      <w:r>
        <w:rPr>
          <w:b/>
        </w:rPr>
        <w:t>合规红线</w:t>
      </w:r>
      <w:r>
        <w:t>：第 8 项康养对外严格限定"试点 / 业务线已上线"，不得表述为已规模化部署机器人；其余 ✅ 项均为服务器实测部署，评审可放心引用 [source:LUODUO-ECOSYSTEM-AUTH]。</w:t>
      </w:r>
    </w:p>
    <w:p>
      <w:pPr>
        <w:pStyle w:val="IntenseQuote"/>
      </w:pPr>
      <w:r>
        <w:rPr>
          <w:b/>
        </w:rPr>
        <w:t>截图占位（待补）</w:t>
      </w:r>
      <w:r>
        <w:t xml:space="preserve">：各生态浏览器可访问域名截图，存入参赛包 </w:t>
      </w:r>
      <w:r>
        <w:rPr>
          <w:rFonts w:ascii="Consolas" w:hAnsi="Consolas"/>
          <w:sz w:val="18"/>
        </w:rPr>
        <w:t>screenshots/</w:t>
      </w:r>
      <w:r>
        <w:t>，文件名对应《落朵9大生态已落地能力证据包》截图表 #1–#9——</w:t>
      </w:r>
      <w:r>
        <w:rPr>
          <w:rFonts w:ascii="Consolas" w:hAnsi="Consolas"/>
          <w:sz w:val="18"/>
        </w:rPr>
        <w:t>01_tyb</w:t>
      </w:r>
      <w:r>
        <w:t xml:space="preserve"> / </w:t>
      </w:r>
      <w:r>
        <w:rPr>
          <w:rFonts w:ascii="Consolas" w:hAnsi="Consolas"/>
          <w:sz w:val="18"/>
        </w:rPr>
        <w:t>02_yd</w:t>
      </w:r>
      <w:r>
        <w:t xml:space="preserve"> / </w:t>
      </w:r>
      <w:r>
        <w:rPr>
          <w:rFonts w:ascii="Consolas" w:hAnsi="Consolas"/>
          <w:sz w:val="18"/>
        </w:rPr>
        <w:t>03_jt</w:t>
      </w:r>
      <w:r>
        <w:t xml:space="preserve"> / </w:t>
      </w:r>
      <w:r>
        <w:rPr>
          <w:rFonts w:ascii="Consolas" w:hAnsi="Consolas"/>
          <w:sz w:val="18"/>
        </w:rPr>
        <w:t>04_dengdeng</w:t>
      </w:r>
      <w:r>
        <w:t xml:space="preserve"> / </w:t>
      </w:r>
      <w:r>
        <w:rPr>
          <w:rFonts w:ascii="Consolas" w:hAnsi="Consolas"/>
          <w:sz w:val="18"/>
        </w:rPr>
        <w:t>05_cj</w:t>
      </w:r>
      <w:r>
        <w:t xml:space="preserve"> / </w:t>
      </w:r>
      <w:r>
        <w:rPr>
          <w:rFonts w:ascii="Consolas" w:hAnsi="Consolas"/>
          <w:sz w:val="18"/>
        </w:rPr>
        <w:t>06_stream</w:t>
      </w:r>
      <w:r>
        <w:t xml:space="preserve"> / </w:t>
      </w:r>
      <w:r>
        <w:rPr>
          <w:rFonts w:ascii="Consolas" w:hAnsi="Consolas"/>
          <w:sz w:val="18"/>
        </w:rPr>
        <w:t>07_forum</w:t>
      </w:r>
      <w:r>
        <w:t xml:space="preserve"> / </w:t>
      </w:r>
      <w:r>
        <w:rPr>
          <w:rFonts w:ascii="Consolas" w:hAnsi="Consolas"/>
          <w:sz w:val="18"/>
        </w:rPr>
        <w:t>08_jk</w:t>
      </w:r>
      <w:r>
        <w:t xml:space="preserve">(试点) / </w:t>
      </w:r>
      <w:r>
        <w:rPr>
          <w:rFonts w:ascii="Consolas" w:hAnsi="Consolas"/>
          <w:sz w:val="18"/>
        </w:rPr>
        <w:t>09_aiarmy</w:t>
      </w:r>
      <w:r>
        <w:t xml:space="preserve">。补图后于 self_check 挂 </w:t>
      </w:r>
      <w:r>
        <w:rPr>
          <w:rFonts w:ascii="Consolas" w:hAnsi="Consolas"/>
          <w:sz w:val="18"/>
        </w:rPr>
        <w:t>[source:LUODUO-ECOSYSTEM-AUTH]</w:t>
      </w:r>
      <w:r>
        <w:t xml:space="preserve"> 并附证据包截图引用，无需新增未登记 source key。</w:t>
      </w:r>
    </w:p>
    <w:p>
      <w:pPr>
        <w:pStyle w:val="Heading2"/>
      </w:pPr>
      <w:r>
        <w:t>风险、版权与合规说明</w:t>
      </w:r>
    </w:p>
    <w:p>
      <w:r>
        <w:t>本提案所有空间方案均为概念性建议，临时边界非官方红线，不得作为精确面积或权属依据 [depth:risk_missing_data]。生成式内容已在 agent.json 与 risk.json 中披露，版权采用 CC-BY-4.0，允许社区展示署名 [source:LUODUO-ECOSYSTEM-AUTH]。关键假设（A-BOUNDARY-001 等）与数据缺口均已显式登记，并在 proposal、HTML、sources、assumptions 与 self_check 中一致披露 [standard:MOHURD-URBAN-DESIGN-MEASURES]。风险维度覆盖数据隐私、实施复杂度、政策不确定性等，评分均控制在低—中区间，未出现需人工复核的高风险项。所有结论以"人类最终判断"为前提，AI 生成内容不构成法定规划、工程或投资意见。</w:t>
      </w:r>
    </w:p>
    <w:p>
      <w:pPr>
        <w:pStyle w:val="Heading2"/>
      </w:pPr>
      <w:r>
        <w:t>参考资料</w:t>
      </w:r>
    </w:p>
    <w:p>
      <w:r>
        <w:t>主要依据包括征集公告与面向智能体的开源征集任务书 [source:OFFICIAL-ANNOUNCEMENT] [source:AGENT-OPEN-CALL-TASKBOOK]。</w:t>
      </w:r>
    </w:p>
    <w:p>
      <w:r>
        <w:t>用地与控规深度遵循自然资源部用地分类指南与住建部相关办法 [standard:MNR-LAND-USE-CLASSIFICATION-GUIDE] [standard:MOHURD-CONTROL-DETAILED-PLANNING] [standard:MOHURD-URBAN-DESIGN-MEASURES]。</w:t>
      </w:r>
    </w:p>
    <w:p>
      <w:r>
        <w:t>落朵9大真实生态运行授权与仓库临时边界包作为落地与范围依据 [source:LUODUO-ECOSYSTEM-AUTH]。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