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 w:cs="微软雅黑"/>
          <w:b/>
          <w:color w:val="1F3A5F"/>
          <w:sz w:val="40"/>
        </w:rPr>
        <w:t>星衡精密 · 质量追溯与缺陷归因 AI 辅助项目 报价单</w:t>
      </w:r>
    </w:p>
    <w:p>
      <w:pPr>
        <w:spacing w:after="160" w:line="348" w:lineRule="auto"/>
      </w:pPr>
      <w:r>
        <w:rPr>
          <w:rFonts w:ascii="微软雅黑" w:hAnsi="微软雅黑" w:eastAsia="微软雅黑" w:cs="微软雅黑"/>
          <w:b w:val="0"/>
          <w:sz w:val="21"/>
        </w:rPr>
        <w:t>报价编号 XH-QA-2026-001 ｜ 日期 2026-10-23 ｜ 有效期 30 天 ｜ 币种 人民币（含税总价）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一、报价总览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项目名称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质量追溯与缺陷归因 AI 辅助系统建设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客户名称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星衡精密制造有限公司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计价方式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固定总价（按交付清单与验收标准计价，不按工时结算）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含税总价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/>
                <w:sz w:val="17"/>
              </w:rPr>
              <w:t>¥180,000.00（壹拾捌万元整）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报价有效期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30 天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工期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合同生效后 12 周（含历史回放验证与 4 周并行试点）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二、项目范围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建设内容：</w:t>
      </w:r>
      <w:r>
        <w:rPr>
          <w:rFonts w:ascii="微软雅黑" w:hAnsi="微软雅黑" w:eastAsia="微软雅黑" w:cs="微软雅黑"/>
          <w:b/>
          <w:sz w:val="21"/>
        </w:rPr>
        <w:t>异常定位辅助 + 追溯清单</w:t>
      </w:r>
      <w:r>
        <w:rPr>
          <w:rFonts w:ascii="微软雅黑" w:hAnsi="微软雅黑" w:eastAsia="微软雅黑" w:cs="微软雅黑"/>
          <w:b w:val="0"/>
          <w:sz w:val="21"/>
        </w:rPr>
        <w:t>自动生成，覆盖"首件检验 → 巡检 → 不合格隔离 → 原因分析 → 返工 → 复检"六节点链路。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范围红线：不自动认定根因、不自动放行；AI 输出仅为辅助，最终判定由授权岗位签核（依据 f05 / f40 / f52）。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实施方式：历史资料回放验证 → 4 周小范围并行试点，不替换现有业务（f05）。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三、报价明细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内容说明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金额（元）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需求诊断与方案设计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六岗位访谈、追溯链诊断、技术选型、数据流与安全架构设计、验收标准定义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25,000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数据与知识资产建设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历史数据清洗、结构化、标注、权限梳理、检索切分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22,000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质量追溯与异常定位系统开发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谱系追溯（正反向）、异常定位辅助、疑似原因排序、证据包与 8D D2–D5 草稿生成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套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60,000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口径与版本校验模块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单位 / 公差 / 校准 / as_of 版本校验，歧义记录拦截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套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15,000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系统对接与私有化部署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QMS / MES / 量具采集 3 个只读接口 + 中断只读快照机制 + 生产环境部署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25,000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评测与合规验证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Golden Set 评测集（历史批次回放）、幻觉与越权注入测试、审计留痕验证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15,000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培训与知识转移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操作手册 1 套 + 1 轮现场培训 + 应急演练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试运行运维（3 个月）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监控、模型与 Prompt 迭代、知识库更新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 个月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12,000</w:t>
            </w:r>
          </w:p>
        </w:tc>
      </w:tr>
      <w:tr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/>
                <w:sz w:val="17"/>
              </w:rPr>
              <w:t>含税总价合计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/>
                <w:sz w:val="17"/>
              </w:rPr>
              <w:t>180,000</w:t>
            </w:r>
          </w:p>
        </w:tc>
      </w:tr>
    </w:tbl>
    <w:p/>
    <w:p>
      <w:pPr>
        <w:spacing w:before="80" w:after="80"/>
        <w:ind w:left="34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以上报价已包含售前调研、差旅驻场、算力与第三方服务（OCR / 短信等）等全部费用，不再另行收取。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四、付款方式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比例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金额（元）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触发条件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合同签订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40%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72,000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合同生效后 5 个工作日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历史回放验证通过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30%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54,000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评测集回放通过率 ≥ 95%，追溯完整率 ≥ 99%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并行试点验收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30%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54,000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 周并行试点验收通过（错误放行为零）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五、商务条款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本报价为</w:t>
      </w:r>
      <w:r>
        <w:rPr>
          <w:rFonts w:ascii="微软雅黑" w:hAnsi="微软雅黑" w:eastAsia="微软雅黑" w:cs="微软雅黑"/>
          <w:b/>
          <w:sz w:val="21"/>
        </w:rPr>
        <w:t>含税总价</w:t>
      </w:r>
      <w:r>
        <w:rPr>
          <w:rFonts w:ascii="微软雅黑" w:hAnsi="微软雅黑" w:eastAsia="微软雅黑" w:cs="微软雅黑"/>
          <w:b w:val="0"/>
          <w:sz w:val="21"/>
        </w:rPr>
        <w:t>，开具增值税发票；报价有效期 30 天。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对外交付范围与验收标准以本报价单第三节交付清单为准；清单外需求走变更流程，累计变更超合同额 20% 触发合同重谈。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试点评价与操作记录留存 90 天，期满由产品安全负责人复核删除或归档（f43）。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AI 输出仅为异常定位辅助与追溯清单，不构成根因认定或放行依据；涉及放行结论须经对应审批人签核（f05 / f40 / f41 / f52）。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触及停止条件（返工换批号追不到原刀具、资料缺依据、两版本冲突、关键系统不可用）即转人工，并标注触发原因、接手人、确认时间（f44）。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首期含 3 个月运维；期满后可选订阅 3,000 元/月，随时终止。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六、验收标准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 xml:space="preserve">两类零件试点、批次追溯完整率 </w:t>
      </w:r>
      <w:r>
        <w:rPr>
          <w:rFonts w:ascii="微软雅黑" w:hAnsi="微软雅黑" w:eastAsia="微软雅黑" w:cs="微软雅黑"/>
          <w:b/>
          <w:sz w:val="21"/>
        </w:rPr>
        <w:t>99%</w:t>
      </w:r>
      <w:r>
        <w:rPr>
          <w:rFonts w:ascii="微软雅黑" w:hAnsi="微软雅黑" w:eastAsia="微软雅黑" w:cs="微软雅黑"/>
          <w:b w:val="0"/>
          <w:sz w:val="21"/>
        </w:rPr>
        <w:t>、错误放行为</w:t>
      </w:r>
      <w:r>
        <w:rPr>
          <w:rFonts w:ascii="微软雅黑" w:hAnsi="微软雅黑" w:eastAsia="微软雅黑" w:cs="微软雅黑"/>
          <w:b/>
          <w:sz w:val="21"/>
        </w:rPr>
        <w:t>零</w:t>
      </w:r>
      <w:r>
        <w:rPr>
          <w:rFonts w:ascii="微软雅黑" w:hAnsi="微软雅黑" w:eastAsia="微软雅黑" w:cs="微软雅黑"/>
          <w:b w:val="0"/>
          <w:sz w:val="21"/>
        </w:rPr>
        <w:t>（f02 / f42）；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 xml:space="preserve">缺陷定位从 </w:t>
      </w:r>
      <w:r>
        <w:rPr>
          <w:rFonts w:ascii="微软雅黑" w:hAnsi="微软雅黑" w:eastAsia="微软雅黑" w:cs="微软雅黑"/>
          <w:b/>
          <w:sz w:val="21"/>
        </w:rPr>
        <w:t>2 天缩短至 4 小时</w:t>
      </w:r>
      <w:r>
        <w:rPr>
          <w:rFonts w:ascii="微软雅黑" w:hAnsi="微软雅黑" w:eastAsia="微软雅黑" w:cs="微软雅黑"/>
          <w:b w:val="0"/>
          <w:sz w:val="21"/>
        </w:rPr>
        <w:t>（f00）；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返工环节强制保留原业务编号，换批号不丢追溯链（f11 / f23）；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人工兜底与审计留痕全覆盖，任一不可逆动作前有具名签核（f40 / f45）。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供方（盖章）：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需方（盖章）：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授权代表签字：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授权代表签字：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日期：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日期：</w:t>
            </w:r>
          </w:p>
        </w:tc>
      </w:tr>
    </w:tbl>
    <w:p/>
    <w:p>
      <w:pPr>
        <w:spacing w:after="160" w:line="348" w:lineRule="auto"/>
      </w:pPr>
      <w:r>
        <w:rPr>
          <w:rFonts w:ascii="微软雅黑" w:hAnsi="微软雅黑" w:eastAsia="微软雅黑" w:cs="微软雅黑"/>
          <w:b w:val="0"/>
          <w:sz w:val="21"/>
        </w:rPr>
        <w:t>编制依据：《星衡精密业务需求发现报告》（f00–f55）与《制造业质量追溯与缺陷归因 · 同行方案调研报告》。</w:t>
      </w:r>
    </w:p>
    <w:sectPr w:rsidR="00FC693F" w:rsidRPr="0006063C" w:rsidSect="00034616">
      <w:footerReference w:type="default" r:id="rId9"/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