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2018年甘肃兰州市公安局警务辅助人员考试真题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一、单项选择。从以下四个选项中选择最佳选项。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甲持刀追杀乙，眼见就要被甲追上，乙见路旁有一辆未熄火的摩托车，便驾车逃跑，使摩托车造成严重损失，其行为构成（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A、故意损坏财物罪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、正当防卫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、执行命令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、紧急避险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下列刑事案件属于公安机关管辖的是（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A、贿赂案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、国家工作人员渎职案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、贪污案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、组织、容留卖淫案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某市为了创建文明城市，加大了卫生检查力度。某小吴经常乱丢垃圾，经多次警告之后仍无改变，辖区民警小王在阻止群众乱丢垃圾时，一时激动，和群众发生了冲突，留下了很不好的影响，对此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A、民警在处理事务时，应当时刻保持良好的职业素养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B、民警拥有强制执行权，在人民群众不依法办事的情况下，可以直接进行强制执行，因此，小王做法没错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C、公安工作的宗旨是为人民服务，因此人民警察在从事工作的时候应当体谅人民群众的难处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D、人民警察应当具备良好的口头语言表达能力，小王在执法中语言表达不当，没有做好此次工作。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某日，刘某给朋友过生日而喝醉了酒，在意识不清的情况下，捅死了前来劝阻其闹事的饭店服务员，其行为判断正确的是（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A、刘某是在意识不清的情况下杀人的，所以不构成犯罪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、刘某应当负刑事责任，但应当从轻或减轻处罚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C、刘某酗酒后杀人，应当从重处罚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、刘某的行为构成故意杀人罪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犯罪嫌疑人刘某被抓到案前，就如何处理赃物问题给同案犯王某发的语音微信属于（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A、电子数据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、证人证言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、犯罪嫌疑人供述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、视听资料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在我国的各种政治力量中，领导公安工作的政治力量只能是（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A、多党协商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、政治协商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、中国共产党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、民主党派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《人民警察法》规定，公安机关负责执行的刑罚种类有（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A、管制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、拘役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、有期徒刑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、没收财产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甲饲养一条宠物狗，多次夜间狂吠，邻居乙要求甲采取相应措施，甲因此怀恨在心，某晚甲在小区内遛狗，见乙的女儿回家，驱使狗将其咬伤，乙要求公安机关裁决甲赔偿女儿被咬伤的医药费及精神损失赔偿。对此，公安机关应如何处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A、参照民法有关规定应裁决甲赔偿乙有关损失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B、责令甲赔偿，不赔偿可警告，但对乙提出的精神损失要求其提起民事诉讼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C、告知乙就赔偿问题向人民调解委员会申请调解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D、告知乙就赔偿问题向法院提起诉讼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某公安机关在侦查一起抢劫杀人案时，在没有事实证明有重点犯罪嫌疑的情况下，将一公民错误的刑事拘留。该公民有权依法（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A、提起行政复议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、提起刑事诉讼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、取得国家赔偿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、取得民事赔偿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下列不属于非法证据的是（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A、医护人员经同意录制的与患者的语音。 B、商场保安对顾客搜身后得到的证据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C、退休后警察扣押的物证         D、侦査机关对犯罪嫌疑人进行连续几十个小时后不吃不喝不睡所获得供述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某旅馆因严重违反国家规定被公安机关吊销了特种行业许可证，这是（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A、行政处分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、行政强制措施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、治安管理处罚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、行政强制执行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公安机关为履行职责，依法采取权威性措施和手段的行为，这是（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A、公安机关职责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、公安机关权利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、公安机关权力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、公安机关任务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社会治安综合治理要坚持“打防结合，预防为主”的原则，加强基层工作，增强全社会的（  ）能力。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A、严打和治理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、预防和控制犯罪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、专政和民主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、管理和监督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对于投诉报警，接警员应询问什么内容（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A、询问犯罪嫌疑人体貌特征，犯罪后去向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、询问参与事件人数、规模、人员构成和事由等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C、询问被投诉的基本情况和投诉事由</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、询问需要救助的人数、事由、危险源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甲申请限价房，并估计自己能够分得一套新房，便向家具公司订购一套家具，在分布公房名单中没有甲，甲订购家具的行为（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A、无效，意思表示不真实</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、可撤销，存在重大误解</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、无效，显失公平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、有效，行为动机错误不影响订购行为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关于集会、游行、示威，下列说法错误的是（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A、应当和平进行，不得使用暴力或暴力性工具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、主管机关是所在地市、县的公安机关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C、活动之前需向公安机关申请并获得许可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、无需有负责人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吊销违法者经营许可证的行为属于（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A、行政命令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、行政处罚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、行政处分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、行政强制执行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市民张某在街道上无照销售食品，在被城市综合管理执法人员査处中暴力抗法，导致一名执法人员受伤。经媒体报道，人们纷纷议论此事。关于此事，哪一说法是错误的（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A、王某指出，城市综合管理执法人员的行为属于执法行为，具有权威性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B、刘某认为，城市综合管理执法机构应当合理合法执法，执法方式应当能够让一般人民接受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C、赵某认为，如果老百姓认为执法不公，就有奋起反抗的权利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D、陈某认为，守法是公民的义务，如果认为其行为违法，可采用复议诉讼等手段来解决，不是暴力抗法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关于法律责任，哪一说法是正确的（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A、违法行为是承担法律责任的唯一原因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、法律责任的竞合只发生在同一法律部门内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C、王某考试作弊，被学校处以留校察看的处分，属于法律制裁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、法律责任以国家强制力为后盾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下列法律谚语所表述的法律理念不同于其他三项的是（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A、群臣上下贵贱皆从法，此谓为大治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、刑过不避大臣，赏善不遗匹夫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C、法不阿贵，绳不扭曲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、言无二贵，法不两适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某国有事业单位办公室副主任王某，在担任出纳期间，私自利用公款购买股票，其行为构成（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A、挪用公款罪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、滥用职权罪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、挪用特定款物罪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、玩忽职守罪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甲预谋到乙家盗窃，到达乙家后，从窗户看到乙家有人，于是作罢，返回家，其行为属于（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A、犯罪预备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、犯罪中止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、犯罪未遂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、不构成犯罪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某日，甲在街道上闲逛的时候，发现有一辆摩托车停在路边，车主乙正在和别人聊天，甲趁乙不注意的时候骑上车就跑，乙发现之后追上去跟甲扭打在一起，甲一拳将乙打倒在地，骑车逃走，其行为（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A、抢劫罪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、抢夺罪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、盗窃罪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、交通肇事罪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  ）是公安工作的政治优势，是公安队伍不断壮大的源泉，是做好公安工作的根本保证。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A、人民群众的支持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、人民群众的监督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、人民群众的批评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、人民群众的表扬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民警在追捕一名逃犯的时候，警车突然故障，此时民警应当（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A、等待支援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、拦截过往车辆继续追捕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、等待过往出租车，打的追捕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、赶回公安局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下列哪种行为属于侵犯人身权的行为（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A、结伙斗殴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、冒用气功名义损害他人身体健康</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、抢夺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、威胁人身安全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我国公安工作的基本方针是（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A、依法从重从快惩处违法犯罪分子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、树立民意主导警务的群众工作理念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C、党委领导下的专门机关和广大群众相结合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、建立健全一体化的社会治安防控系统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古希腊的一位哲学家曾经说过：“人类的一半活动是在危机当中度过的。”天灾人祸是经常出现的，应对这些突发事件的原则是（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A、处置为主，预防为辅</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、预防为主，预防和应急相结合  C、预防为主，处置为辅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、处置与预防并重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“一把钥匙开一把锁”这句话说明了（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A、要承认事物联系的普遍性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、要承认人的主观能动性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C、要注意分析矛盾的特殊性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、要注意分析矛盾的普遍性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下列情形不可能发生的是（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A、秦始皇在皇宫里一边吃橘子一边观看歌舞</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、明朝工匠以糯米汁为粘合剂建造城墙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C、明太祖朱元璋与群臣一起参观长颈鹿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、唐代的富贵人家放爆竹迎新年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我国客轮停靠在美国纽约港时，德国人甲在轮船上盗窃我国公民乙价值4000元人民币的财物，对本案确立我国刑法效力的依据是（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A、属人原则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、保护原则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、普遍管辖原则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、属地原则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以下哪组归类不正确（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A、五音：宫、商、角、徽、羽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、五等爵：公、侯、伯、子、男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C、六部：吏、户、礼、兵、刑、工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、五经：《诗》、《书》、《礼》、《易》、《论语》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“一门三父子，都是大文豪，诗赋传千古，峨眉共比高。”这首诗中的“三父子”指的是（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A、曹操、曹丕、曹植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、苏洵、苏轼、苏辙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C、班固、班起、班亮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、杜甫、杜牧、杜荀鹤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杜甫诗云“江碧鸟愈白，山青花欲燃”。下列与该诗句体现的哲学道理相同的是（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A、人间四月芳菲尽，山寺桃花始盛开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、蝉噪林愈静，鸟鸣山更幽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C、挽弓当挽强，用箭当用长</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、年年岁岁花相似，岁岁年年人不同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经济学领域所谓的“看不见的手”的最初提出者是（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A、亚当·斯密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、凯恩斯</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、大卫·李嘉图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、萨缪尔森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从搅动春节的微信红包，到与打车软件的亲密合作，再到令人眼花缭乱的互联网理财产品，互联网正渗入百姓金融生活的各个角落，为中小投资者带来收益，也给传统金融企业带来新的活力。这表明（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①互联网企业创新推动金融产业优化升级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②互联网理财成为百姓的唯一选择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③居民投资理财的品质和渠道更加多样化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④新的消费热点的出现带动一个产业的出现和成长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降水是指云中的水分以液态或固态的形式降落到地面的现象，包括雨、雪、雨夹雪、米雪、霜、冰雹、冰粒和冰针等降水形式。下列选项没有体现降水的是（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A、忽如一夜春风来，千树万树梨花开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、春潮带雨晚来急，野渡无人舟自横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C、渭城朝雨邑轻尘，客舍青青柳色新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、东风夜放花千树，更吹落，星如雨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新能源、新材料、信息产业、新医药、生物育种、节能环保、电动汽车——七大产业被表述为“战略性新兴产业”。“战略性新兴产业”除了具有良好的经济技术效益，还具有的特点不包括（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A、资源消耗低</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、成长潜力大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、投入少，见效快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、带动相关产业的兴起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IMF数据显示，1980年欧盟成员国GDP占全球GDP的</w:t>
      </w:r>
      <w:r>
        <w:rPr>
          <w:rFonts w:hint="eastAsia" w:cs="宋体"/>
          <w:i w:val="0"/>
          <w:caps w:val="0"/>
          <w:color w:val="333333"/>
          <w:spacing w:val="0"/>
          <w:sz w:val="21"/>
          <w:szCs w:val="21"/>
          <w:shd w:val="clear" w:fill="FFFFFF"/>
          <w:lang w:val="en-US" w:eastAsia="zh-CN"/>
        </w:rPr>
        <w:t>31%</w:t>
      </w:r>
      <w:r>
        <w:rPr>
          <w:rFonts w:hint="eastAsia" w:ascii="宋体" w:hAnsi="宋体" w:eastAsia="宋体" w:cs="宋体"/>
          <w:i w:val="0"/>
          <w:caps w:val="0"/>
          <w:color w:val="333333"/>
          <w:spacing w:val="0"/>
          <w:sz w:val="21"/>
          <w:szCs w:val="21"/>
          <w:shd w:val="clear" w:fill="FFFFFF"/>
        </w:rPr>
        <w:t>，预计到2017年进一步降至</w:t>
      </w:r>
      <w:r>
        <w:rPr>
          <w:rFonts w:hint="eastAsia" w:cs="宋体"/>
          <w:i w:val="0"/>
          <w:caps w:val="0"/>
          <w:color w:val="333333"/>
          <w:spacing w:val="0"/>
          <w:sz w:val="21"/>
          <w:szCs w:val="21"/>
          <w:shd w:val="clear" w:fill="FFFFFF"/>
          <w:lang w:val="en-US" w:eastAsia="zh-CN"/>
        </w:rPr>
        <w:t>17%</w:t>
      </w:r>
      <w:r>
        <w:rPr>
          <w:rFonts w:hint="eastAsia" w:ascii="宋体" w:hAnsi="宋体" w:eastAsia="宋体" w:cs="宋体"/>
          <w:i w:val="0"/>
          <w:caps w:val="0"/>
          <w:color w:val="333333"/>
          <w:spacing w:val="0"/>
          <w:sz w:val="21"/>
          <w:szCs w:val="21"/>
          <w:shd w:val="clear" w:fill="FFFFFF"/>
        </w:rPr>
        <w:t>。另一方面，包括中国和印度在内的亚洲发展中国家占世界经济的比重则飙升，从1980年的</w:t>
      </w:r>
      <w:r>
        <w:rPr>
          <w:rFonts w:hint="eastAsia" w:cs="宋体"/>
          <w:i w:val="0"/>
          <w:caps w:val="0"/>
          <w:color w:val="333333"/>
          <w:spacing w:val="0"/>
          <w:sz w:val="21"/>
          <w:szCs w:val="21"/>
          <w:shd w:val="clear" w:fill="FFFFFF"/>
          <w:lang w:val="en-US" w:eastAsia="zh-CN"/>
        </w:rPr>
        <w:t>8%</w:t>
      </w:r>
      <w:r>
        <w:rPr>
          <w:rFonts w:hint="eastAsia" w:ascii="宋体" w:hAnsi="宋体" w:eastAsia="宋体" w:cs="宋体"/>
          <w:i w:val="0"/>
          <w:caps w:val="0"/>
          <w:color w:val="333333"/>
          <w:spacing w:val="0"/>
          <w:sz w:val="21"/>
          <w:szCs w:val="21"/>
          <w:shd w:val="clear" w:fill="FFFFFF"/>
        </w:rPr>
        <w:t>升至2011年的</w:t>
      </w:r>
      <w:r>
        <w:rPr>
          <w:rFonts w:hint="eastAsia" w:cs="宋体"/>
          <w:i w:val="0"/>
          <w:caps w:val="0"/>
          <w:color w:val="333333"/>
          <w:spacing w:val="0"/>
          <w:sz w:val="21"/>
          <w:szCs w:val="21"/>
          <w:shd w:val="clear" w:fill="FFFFFF"/>
          <w:lang w:val="en-US" w:eastAsia="zh-CN"/>
        </w:rPr>
        <w:t>25%</w:t>
      </w:r>
      <w:r>
        <w:rPr>
          <w:rFonts w:hint="eastAsia" w:ascii="宋体" w:hAnsi="宋体" w:eastAsia="宋体" w:cs="宋体"/>
          <w:i w:val="0"/>
          <w:caps w:val="0"/>
          <w:color w:val="333333"/>
          <w:spacing w:val="0"/>
          <w:sz w:val="21"/>
          <w:szCs w:val="21"/>
          <w:shd w:val="clear" w:fill="FFFFFF"/>
        </w:rPr>
        <w:t>，预计2017年可达</w:t>
      </w:r>
      <w:r>
        <w:rPr>
          <w:rFonts w:hint="eastAsia" w:cs="宋体"/>
          <w:i w:val="0"/>
          <w:caps w:val="0"/>
          <w:color w:val="333333"/>
          <w:spacing w:val="0"/>
          <w:sz w:val="21"/>
          <w:szCs w:val="21"/>
          <w:shd w:val="clear" w:fill="FFFFFF"/>
          <w:lang w:val="en-US" w:eastAsia="zh-CN"/>
        </w:rPr>
        <w:t>31%</w:t>
      </w:r>
      <w:r>
        <w:rPr>
          <w:rFonts w:hint="eastAsia" w:ascii="宋体" w:hAnsi="宋体" w:eastAsia="宋体" w:cs="宋体"/>
          <w:i w:val="0"/>
          <w:caps w:val="0"/>
          <w:color w:val="333333"/>
          <w:spacing w:val="0"/>
          <w:sz w:val="21"/>
          <w:szCs w:val="21"/>
          <w:shd w:val="clear" w:fill="FFFFFF"/>
        </w:rPr>
        <w:t>。这说明（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①世界朝着多极化趋势发展</w:t>
      </w:r>
      <w:r>
        <w:rPr>
          <w:rFonts w:hint="eastAsia" w:cs="宋体"/>
          <w:i w:val="0"/>
          <w:caps w:val="0"/>
          <w:color w:val="333333"/>
          <w:spacing w:val="0"/>
          <w:sz w:val="21"/>
          <w:szCs w:val="21"/>
          <w:shd w:val="clear" w:fill="FFFFFF"/>
          <w:lang w:val="en-US" w:eastAsia="zh-CN"/>
        </w:rPr>
        <w:tab/>
      </w:r>
      <w:r>
        <w:rPr>
          <w:rFonts w:hint="eastAsia" w:cs="宋体"/>
          <w:i w:val="0"/>
          <w:caps w:val="0"/>
          <w:color w:val="333333"/>
          <w:spacing w:val="0"/>
          <w:sz w:val="21"/>
          <w:szCs w:val="21"/>
          <w:shd w:val="clear" w:fill="FFFFFF"/>
          <w:lang w:val="en-US" w:eastAsia="zh-CN"/>
        </w:rPr>
        <w:tab/>
      </w: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②发展中国家已经成为世界的主导力量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③世界正在形成若干个经济力量中心</w:t>
      </w: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④世界新秩序已经确立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、③④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坚持反腐败无禁区、全覆盖、零容忍，坚定不移“打虎”、“拍蝇”、“猎狐”，（  ）的目标初步实现，（  ）的笼子越扎越牢，（  ）的堤坝正在构筑，反腐败斗争压倒性态势已经形成并巩固发展。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A、不敢腐 不能腐 不想腐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、不能腐 不敢腐 不想腐  C、不想腐 不敢腐 不能腐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、不敢腐 不想腐 不能腐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二、多项选择。以下四个选项中至少有两个选项符合题意，多选、少选、错选均不得分。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受贿罪和贪污罪的相同点（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A、犯罪客体相同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、主观方面都是故意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、都是利用职务之便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、手段相同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党在社会主义初级阶段的基本路线的主要内容包括（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A、坚持改革开放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、坚持四项基本原则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、勇于创新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、以经济建设为中心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关于改革、发展和稳定三者关系的说法，正确的有（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A、发展是改革的目的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、改革是发展的动力</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、发展和改革是稳定的基础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、稳定是发展和改革的基础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中共中央办公厅、国务院日前印发的《深化农村改革综合性实施方案》指出，要从提高农村改革的系统性、整体性、协同性出发，聚焦五大领域，进一步推进深化农村改革。下列选项中，属于这五大领域的是（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A、农村集体产权制度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、农业经营制度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、农业支持保护制度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、城乡发展一体化体制机制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下列标题在写法上采用的是“批复机关+事由+请示机关+文种”的有（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A、《国务院关于同意建立XX山国家级自然保护区给XX自治区人民政府的批复》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B、《国务院关于同意河北省地市体制改革调整行政区划的批复》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C、《国务院办公厅关于悬挂国徽等问题给湖北省人民政府办公厅的批复》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D、《关于同意XX地区社会综合治理委员会调整副主任委员的批复》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太阳系目前发现有八大行星，下列说法正确的是（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A、木星是太阳系质量最大的行星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、按照离太阳的距离由近及远，地球是第五颗行星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C、水星是离太阳最近的行星</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、火星与地球相邻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五年来，我们勇于面对党面临的重大风险考验和党内存在的突出问题，以顽强意志品质正风肃纪、反腐惩恶，清除了党和国家内部存在的严重隐患，党内政治生活气象更新，党内政治生态明显好转，党的（  ）显著增强。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A、创造力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、创新力</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、凝聚力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、战斗力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实施乡村振兴战略，（  ）问题是关系国计民生的根本问题，必须始终把解决好“三农”问题作为全党工作重中之重。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A、农业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、农村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、农民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、农田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提高就业质量和人民收入水平，鼓励勤劳守法致富，就要（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A、扩大中等收入群体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、增加低收入者收入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、调节过高收入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、取缔非法收入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加强社会保障体系建设，坚持房子是用来住的，不是用来炒的定位，加快建立（  ）的住房制度，让全体人民住有所居。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A、多主体供给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、多渠道保障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、租购并举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、多部门监管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必须坚持（  ）为主的方针，形成节约资源和保护环境的空间格局、产业结构、生产方式、生活方式，还自然以宁静、和谐、美丽。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A、事先预防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、节约优先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、保护优先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、自然恢复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公安机关作为巩固共产党执政的主要力量，坚持全心全意为人民服务的宗旨主要是通过（  ）体现出来的。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A、完成法律赋予的光荣任务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、完成上级布置的任务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、履行法律赋予的神圣职责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、完成公安机关的任务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根据我国《治安管理处罚法》的规定，违反治安管理的人（  ）有情形之一的，给予行政拘留，但不执行行政拘留。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A、已满14不满16的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、已满16不满18，初次违反治安管理的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C、七十周岁以上的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、怀孕或者正在哺乳不满一周岁婴儿的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领导十三亿多人的社会主义大国，我们党既要政治过硬，也要本领高强，因此要（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A、增强学习本领，增强政治领导本领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、增强改革创新本领，增强科学发展本领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C、增强依法执政本领，增强群众工作本领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、增强狠抓落实本领，增强风险驾驭本领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三、判断题。判断下列说法的正误。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社会主义公有制实行“各尽所能，按需分配”的分配原则。（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无期徒刑可以减为有期徒刑的刑期，从裁定减刑之日起算起。（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文化创新的积极作用就是不断推动社会实践的发展。（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危害公共安全罪的犯罪主观方面既有故意也有过失。（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因警力严重短缺，某县公安局决定特许一批业务素质过硬的协勤人员参与执法办案。（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怀孕妇女、儿童实施暴力犯罪的，人民警察一律不得对其使用武器。（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《公安机关督察条例》中规定，县级以上地方各级人民政府公安机关均应设立督察机构。（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公安机关与其他机关联合执法过程中，造成公民损害的，由公安机关赔偿。（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公安机关对报案、控告、举报或者违反治安管理行为人主动投案，以及其他行政主管部门、司法机关移送的违反治安管理案件，应当及时处理，并根据情况决定是否进行登记。（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法作为调整行为关系的规范，是法治国家中大多数公民意志的体现。（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四、情境分析。根据给出的情境材料做出分析，按照提问要求选择正确答案。每题所设选项中至少有一个正确答案，多选、少选、错选或不选均不得分。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（一）根据以下材料，回答1-4题。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反恐防暴重拳出击。2014年3月，昆明、乌鲁木齐、广州等地相继发生暴力恐怖袭击，造成大量人员伤亡和恶劣的社会影响。面对严峻复杂的反恐斗争形势，湖北省公安机关因势而谋、应势而动，认真落实省委省政府《关于加强全省反恐怖工作的意见》，深化“全警三员”工作机制，妥善处置涉恐、涉暴苗头隐患，开展公共安全及反恐重点目标大检查，实行巡警、特警、交警和武警联合武装巡逻处突，推行地方、铁路、民航公安机关联勤联控，组建特警反恐应急机动队，牵头组织中部4省10市公安特警反恐拉动演练，并及时侦破多起涉恐专案，成功处置潜江“6.10”等极端暴力案件，有力捍卫了政权安全和政治安全，维护了人民群众的生命财产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我国公安机关对于恐怖主义犯罪的打击，直接体现了公安机关的哪项基本职能？（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A、专政职能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、民主职能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、保卫职能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、社会职能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为有效打击恐怖主义犯罪，公安机关应当妥善处置涉恐、涉暴苗头隐患，开展公共安全及反恐重点目标大检查。公安机关对于以下哪类信息应予以重点关注？（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A、某超市打折促销信息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、星星学校舞蹈招生信息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C、某境外组织在我国社交网站上宣扬“圣战”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、某寺庙举办“迎新年烧香祈福”活动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面对严重复杂的反恐斗争形势，公安机关应重视对群众的宣传教育工作，下列属于有效宣传形式的是（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A、在社区的宣传栏内张贴宣传海报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、拍摄宣传公益广告，在公共媒体播放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C、利用警方官方网站发布宣传信息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、在社区内举办宣讲会提升群众防范意识​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人民警察在现场处置恐怖袭击事件的过程中，可以根据情况使用警械、武器。下列属于武器的是（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A、催泪弹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、警棍</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、高压水枪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、枪支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（二）根据以下材料，回答5-8题。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新生派出所位于老城区，治安环境复杂。为了确保安全，派出所组织两支巡逻组，不间断地对辖区进行巡逻。一组是车巡组，共3人，开一辆警车，负责白天主干道的巡逻；二组是步巡组，共3人，负责夜间支街背巷的巡逻。该所一周警情记录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64050" cy="1422400"/>
            <wp:effectExtent l="0" t="0" r="6350" b="0"/>
            <wp:docPr id="86" name="图片 8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descr="IMG_261"/>
                    <pic:cNvPicPr>
                      <a:picLocks noChangeAspect="1"/>
                    </pic:cNvPicPr>
                  </pic:nvPicPr>
                  <pic:blipFill>
                    <a:blip r:embed="rId6"/>
                    <a:srcRect t="11072" b="19246"/>
                    <a:stretch>
                      <a:fillRect/>
                    </a:stretch>
                  </pic:blipFill>
                  <pic:spPr>
                    <a:xfrm>
                      <a:off x="0" y="0"/>
                      <a:ext cx="4464050" cy="14224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为了控制近期盗窃案件的高发态势，鹿所长决定立即调整两个巡逻组的巡逻路线，下面的哪个选项最为合理？（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A、要求一组在下午加大对商业点的巡逻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B、要求二组在周末加大对露天餐馆的巡逻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C、要求一组在工作日9：00-11：00和14：00-16：00加大对居民小区的巡逻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D、要求二组在1：00-4：00加大对居民小区的巡逻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根据辖区的治安情况，鹿所长要求步巡组要加大对夜间可疑人员的排查。下列应该重点检查的人员是：（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A、没有携带有效证件的人员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、骑摩托车（电动车）的人员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C、深夜从居民小区穿越的人员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、疑似携带开锁或者撬锁工具的人员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对车巡组而言，不宜作为重点检查对象的是：（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A、在上班时间从居民楼中出来的可疑人员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、附近居民不认识的可疑人员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C、骑自行车从小区通行的人员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、见到警车紧张或躲避的人员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一天下午5：00左右，朝阳市场仓库突然失火，附近的巡逻民警应：（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A、划定界限保护现场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、尽快驱车回所报告  C、要求商户抢运货物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、组织疏散附近群众</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7"/>
                    <a:stretch>
                      <a:fillRect/>
                    </a:stretch>
                  </pic:blipFill>
                  <pic:spPr>
                    <a:xfrm>
                      <a:off x="0" y="0"/>
                      <a:ext cx="2707640" cy="920115"/>
                    </a:xfrm>
                    <a:prstGeom prst="rect">
                      <a:avLst/>
                    </a:prstGeom>
                    <a:noFill/>
                    <a:ln>
                      <a:noFill/>
                    </a:ln>
                  </pic:spPr>
                </pic:pic>
              </a:graphicData>
            </a:graphic>
          </wp:inline>
        </w:drawing>
      </w:r>
      <w:bookmarkEnd w:id="0"/>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8"/>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476" w:right="839" w:bottom="476" w:left="839" w:header="113"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530655"/>
    <w:rsid w:val="02503964"/>
    <w:rsid w:val="07DF50CD"/>
    <w:rsid w:val="0A243580"/>
    <w:rsid w:val="0BFD4A08"/>
    <w:rsid w:val="11C00243"/>
    <w:rsid w:val="14993C91"/>
    <w:rsid w:val="168427F3"/>
    <w:rsid w:val="17631F6C"/>
    <w:rsid w:val="178C4F1A"/>
    <w:rsid w:val="1E2E3A59"/>
    <w:rsid w:val="23C73C2C"/>
    <w:rsid w:val="23CE250B"/>
    <w:rsid w:val="25E27EC2"/>
    <w:rsid w:val="26677466"/>
    <w:rsid w:val="2CA73A8D"/>
    <w:rsid w:val="2D4B357B"/>
    <w:rsid w:val="2EEC7C50"/>
    <w:rsid w:val="361C50C5"/>
    <w:rsid w:val="3A683619"/>
    <w:rsid w:val="3B6B201B"/>
    <w:rsid w:val="3C094DCA"/>
    <w:rsid w:val="3CF46001"/>
    <w:rsid w:val="3DF70D0D"/>
    <w:rsid w:val="446E47A7"/>
    <w:rsid w:val="448A3C6B"/>
    <w:rsid w:val="46501E05"/>
    <w:rsid w:val="4AE706CB"/>
    <w:rsid w:val="4CB807A1"/>
    <w:rsid w:val="53AE68D2"/>
    <w:rsid w:val="56BF587F"/>
    <w:rsid w:val="58047ACC"/>
    <w:rsid w:val="5BE952B5"/>
    <w:rsid w:val="65102067"/>
    <w:rsid w:val="698A53F3"/>
    <w:rsid w:val="6B5B6CA9"/>
    <w:rsid w:val="6BE17290"/>
    <w:rsid w:val="6D3B5195"/>
    <w:rsid w:val="70AF1DA6"/>
    <w:rsid w:val="73F87981"/>
    <w:rsid w:val="7612031A"/>
    <w:rsid w:val="787B2DAB"/>
    <w:rsid w:val="7A1E6DCD"/>
    <w:rsid w:val="7C281D9F"/>
    <w:rsid w:val="7C3616B4"/>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2020-10-23T02:18:59Z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