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D99A7" w14:textId="1958B351" w:rsidR="009B28E2" w:rsidRPr="003F0A64" w:rsidRDefault="009B28E2" w:rsidP="003F0A64">
      <w:pPr>
        <w:pStyle w:val="Title"/>
        <w:jc w:val="center"/>
        <w:rPr>
          <w:szCs w:val="44"/>
        </w:rPr>
      </w:pPr>
      <w:r w:rsidRPr="009B28E2">
        <w:rPr>
          <w:szCs w:val="44"/>
        </w:rPr>
        <w:t>E</w:t>
      </w:r>
      <w:r w:rsidRPr="009B28E2">
        <w:rPr>
          <w:rFonts w:hint="eastAsia"/>
          <w:szCs w:val="44"/>
        </w:rPr>
        <w:t>ffec</w:t>
      </w:r>
      <w:r w:rsidRPr="009B28E2">
        <w:rPr>
          <w:szCs w:val="44"/>
        </w:rPr>
        <w:t>t of Three Treatments in Reduce Alcohol Usage</w:t>
      </w:r>
    </w:p>
    <w:p w14:paraId="1FEF79FC" w14:textId="1FFBCFBB" w:rsidR="009B28E2" w:rsidRDefault="009B28E2" w:rsidP="003F0A64">
      <w:pPr>
        <w:jc w:val="center"/>
        <w:rPr>
          <w:sz w:val="28"/>
          <w:szCs w:val="28"/>
        </w:rPr>
      </w:pPr>
      <w:r w:rsidRPr="009B28E2">
        <w:rPr>
          <w:sz w:val="28"/>
          <w:szCs w:val="28"/>
        </w:rPr>
        <w:t>Xinyi Lin xl2836</w:t>
      </w:r>
    </w:p>
    <w:p w14:paraId="41277D1B" w14:textId="040A6657" w:rsidR="009B28E2" w:rsidRDefault="009B28E2" w:rsidP="003F0A64">
      <w:pPr>
        <w:pStyle w:val="Heading1"/>
        <w:rPr>
          <w:b w:val="0"/>
        </w:rPr>
      </w:pPr>
      <w:r w:rsidRPr="009B28E2">
        <w:rPr>
          <w:b w:val="0"/>
        </w:rPr>
        <w:t>Abstract</w:t>
      </w:r>
    </w:p>
    <w:p w14:paraId="1E04B774" w14:textId="38EDED0D" w:rsidR="008864C5" w:rsidRPr="008864C5" w:rsidRDefault="008864C5" w:rsidP="003F0A64">
      <w:r>
        <w:t>In this report, we use data getting from a</w:t>
      </w:r>
      <w:r w:rsidRPr="00485C21">
        <w:t xml:space="preserve"> randomized trial </w:t>
      </w:r>
      <w:r>
        <w:t xml:space="preserve">with </w:t>
      </w:r>
      <w:r w:rsidRPr="00485C21">
        <w:t>314 subjects known to suffer from alcohol dependence</w:t>
      </w:r>
      <w:r>
        <w:t xml:space="preserve">. Subjects were assigned to three different treatment and record follow-up information, total drinks numbers and relapse. By analyzing this data, </w:t>
      </w:r>
      <w:r w:rsidR="002A74ED">
        <w:t xml:space="preserve">I </w:t>
      </w:r>
      <w:r w:rsidR="002A74ED">
        <w:rPr>
          <w:rFonts w:hint="eastAsia"/>
        </w:rPr>
        <w:t>foun</w:t>
      </w:r>
      <w:r w:rsidR="002A74ED">
        <w:t>d that</w:t>
      </w:r>
      <w:r>
        <w:t xml:space="preserve"> </w:t>
      </w:r>
      <w:r w:rsidR="008E4078">
        <w:t>for the 30 days following randomization, the effect of Treatment 3 is the best.</w:t>
      </w:r>
      <w:r w:rsidR="008E4078" w:rsidRPr="001F1824">
        <w:t xml:space="preserve"> </w:t>
      </w:r>
      <w:r w:rsidR="008E4078">
        <w:t xml:space="preserve">For the </w:t>
      </w:r>
      <w:r w:rsidR="008E4078">
        <w:rPr>
          <w:szCs w:val="24"/>
        </w:rPr>
        <w:t>30 days between the 30</w:t>
      </w:r>
      <w:r w:rsidR="008E4078">
        <w:rPr>
          <w:szCs w:val="24"/>
          <w:vertAlign w:val="superscript"/>
        </w:rPr>
        <w:t>th</w:t>
      </w:r>
      <w:r w:rsidR="008E4078">
        <w:rPr>
          <w:szCs w:val="24"/>
        </w:rPr>
        <w:t xml:space="preserve"> and 60</w:t>
      </w:r>
      <w:r w:rsidR="008E4078">
        <w:rPr>
          <w:szCs w:val="24"/>
          <w:vertAlign w:val="superscript"/>
        </w:rPr>
        <w:t>th</w:t>
      </w:r>
      <w:r w:rsidR="008E4078">
        <w:rPr>
          <w:szCs w:val="24"/>
        </w:rPr>
        <w:t xml:space="preserve"> day follow-up</w:t>
      </w:r>
      <w:r w:rsidR="008E4078">
        <w:t>, the effect of Treatment 2 is the best. Changes patterns of total drinks number in Treatment 1 and Treatment 3 group is similar and both are different from Treatment 2 group. On baseline, female has less alcohol consumption and have better treatment effect for three types of intervention. Comparing to Treatment 2 and Treatment 1, Treatment 3 have more beneficial effect after treatments have stopped.</w:t>
      </w:r>
    </w:p>
    <w:p w14:paraId="22F7565E" w14:textId="77777777" w:rsidR="009B28E2" w:rsidRDefault="009B28E2" w:rsidP="003F0A64">
      <w:pPr>
        <w:pStyle w:val="Heading1"/>
      </w:pPr>
      <w:r>
        <w:t xml:space="preserve">Introduction </w:t>
      </w:r>
    </w:p>
    <w:p w14:paraId="05B91AA9" w14:textId="77777777" w:rsidR="0007791E" w:rsidRDefault="0007791E" w:rsidP="003F0A64">
      <w:r w:rsidRPr="0007791E">
        <w:t>Alcohol consumption has been identified as an important risk factor for illness, disability, and mortality</w:t>
      </w:r>
      <w:r>
        <w:t xml:space="preserve">. Almost all societies that consume alcohol show related health and social problems. </w:t>
      </w:r>
      <w:r w:rsidRPr="0007791E">
        <w:t>In fact, in the last comparative risk assessment conducted by the World Health Organization (WHO), the detrimental impact of alcohol consumption on the global burden of disease and injury was surpassed only by unsafe sex and childhood underweight status but exceeded that of many classic risk factors, such as unsafe water and sanitation, hyper-tension, high cholesterol, or tobacco use.</w:t>
      </w:r>
      <w:r>
        <w:t xml:space="preserve"> The industrialization and production and globalization of marketing and promotion </w:t>
      </w:r>
      <w:r>
        <w:lastRenderedPageBreak/>
        <w:t xml:space="preserve">of alcohol have increased both the amount of worldwide consumption and the harms associated with it. </w:t>
      </w:r>
    </w:p>
    <w:p w14:paraId="294075F3" w14:textId="77777777" w:rsidR="0007791E" w:rsidRDefault="0007791E" w:rsidP="003F0A64">
      <w:r>
        <w:t>Considering the above facts, a group of researchers conducted a study to compare three types of interventions and to see if these interventions were helpful in reducing alcohol dependence.</w:t>
      </w:r>
    </w:p>
    <w:p w14:paraId="28F9B9BB" w14:textId="77777777" w:rsidR="00485C21" w:rsidRPr="009B28E2" w:rsidRDefault="0007791E" w:rsidP="003F0A64">
      <w:r>
        <w:t>By analyzing data getting from this study, I want to find out 1) treatment effects of three types of interventions</w:t>
      </w:r>
      <w:r w:rsidR="00485C21">
        <w:t xml:space="preserve"> in alcohol consumption</w:t>
      </w:r>
      <w:r>
        <w:t xml:space="preserve">; 2) the influence of gender in alcohol </w:t>
      </w:r>
      <w:r w:rsidR="00485C21">
        <w:t>consumption</w:t>
      </w:r>
      <w:r>
        <w:t xml:space="preserve"> and treatment effects; 3) </w:t>
      </w:r>
      <w:bookmarkStart w:id="0" w:name="OLE_LINK1"/>
      <w:bookmarkStart w:id="1" w:name="OLE_LINK2"/>
      <w:r w:rsidR="00485C21">
        <w:t>effects of three types of interventions after treatments have stopped</w:t>
      </w:r>
      <w:bookmarkEnd w:id="0"/>
      <w:bookmarkEnd w:id="1"/>
      <w:r w:rsidR="00485C21">
        <w:t>.</w:t>
      </w:r>
    </w:p>
    <w:p w14:paraId="0F56F53B" w14:textId="77777777" w:rsidR="009B28E2" w:rsidRDefault="009B28E2" w:rsidP="003F0A64">
      <w:pPr>
        <w:pStyle w:val="Heading1"/>
      </w:pPr>
      <w:r>
        <w:t>Methods</w:t>
      </w:r>
    </w:p>
    <w:p w14:paraId="160A980D" w14:textId="77777777" w:rsidR="00485C21" w:rsidRDefault="00485C21" w:rsidP="00485C21">
      <w:pPr>
        <w:pStyle w:val="ListParagraph"/>
        <w:numPr>
          <w:ilvl w:val="0"/>
          <w:numId w:val="1"/>
        </w:numPr>
        <w:rPr>
          <w:b/>
          <w:bCs/>
          <w:szCs w:val="24"/>
        </w:rPr>
      </w:pPr>
      <w:r>
        <w:rPr>
          <w:b/>
          <w:bCs/>
          <w:szCs w:val="24"/>
        </w:rPr>
        <w:t>Study</w:t>
      </w:r>
      <w:r w:rsidRPr="00485C21">
        <w:rPr>
          <w:b/>
          <w:bCs/>
          <w:szCs w:val="24"/>
        </w:rPr>
        <w:t xml:space="preserve"> description</w:t>
      </w:r>
    </w:p>
    <w:p w14:paraId="2F77E65E" w14:textId="77777777" w:rsidR="004977CD" w:rsidRDefault="00485C21" w:rsidP="00485C21">
      <w:r w:rsidRPr="00485C21">
        <w:t>A randomized trial was conducted</w:t>
      </w:r>
      <w:r>
        <w:t xml:space="preserve"> on </w:t>
      </w:r>
      <w:r w:rsidRPr="00485C21">
        <w:t>314 subjects known to suffer from alcohol dependence</w:t>
      </w:r>
      <w:r>
        <w:t xml:space="preserve">. </w:t>
      </w:r>
      <w:r w:rsidRPr="00485C21">
        <w:t>The total number of drinks consumed in the 30 days immediately prior to randomization</w:t>
      </w:r>
      <w:r>
        <w:t xml:space="preserve"> </w:t>
      </w:r>
      <w:r w:rsidRPr="00485C21">
        <w:t>was recorded.  After the assignment of treatment, the total number of drinks consumed in the past</w:t>
      </w:r>
      <w:r>
        <w:t xml:space="preserve"> </w:t>
      </w:r>
      <w:r w:rsidRPr="00485C21">
        <w:t xml:space="preserve">30 days </w:t>
      </w:r>
      <w:r>
        <w:t>and between</w:t>
      </w:r>
      <w:r w:rsidRPr="00485C21">
        <w:t xml:space="preserve"> 30</w:t>
      </w:r>
      <w:r w:rsidRPr="00485C21">
        <w:rPr>
          <w:vertAlign w:val="superscript"/>
        </w:rPr>
        <w:t>th</w:t>
      </w:r>
      <w:r w:rsidRPr="00485C21">
        <w:t xml:space="preserve"> days and 60</w:t>
      </w:r>
      <w:r w:rsidRPr="00485C21">
        <w:rPr>
          <w:vertAlign w:val="superscript"/>
        </w:rPr>
        <w:t>th</w:t>
      </w:r>
      <w:r w:rsidRPr="00485C21">
        <w:t xml:space="preserve"> days since the beginning of</w:t>
      </w:r>
      <w:r>
        <w:t xml:space="preserve"> treatment were recorded</w:t>
      </w:r>
      <w:r w:rsidRPr="00485C21">
        <w:t xml:space="preserve">. </w:t>
      </w:r>
    </w:p>
    <w:p w14:paraId="25CD6E1B" w14:textId="5F194DDB" w:rsidR="004977CD" w:rsidRDefault="00485C21" w:rsidP="003F0A64">
      <w:r w:rsidRPr="00485C21">
        <w:t>The</w:t>
      </w:r>
      <w:r>
        <w:t xml:space="preserve"> </w:t>
      </w:r>
      <w:r w:rsidRPr="00485C21">
        <w:t>subjects were randomly assigned into one of three treatment groups as follows:</w:t>
      </w:r>
    </w:p>
    <w:p w14:paraId="5505C000" w14:textId="77777777" w:rsidR="004977CD" w:rsidRDefault="00485C21" w:rsidP="003F0A64">
      <w:pPr>
        <w:pStyle w:val="ListParagraph"/>
        <w:numPr>
          <w:ilvl w:val="0"/>
          <w:numId w:val="2"/>
        </w:numPr>
      </w:pPr>
      <w:r w:rsidRPr="00485C21">
        <w:t>Treatment 1:  Subjects were given DVD, pamphlets and other instructional materials related</w:t>
      </w:r>
      <w:r w:rsidR="004977CD">
        <w:t xml:space="preserve"> </w:t>
      </w:r>
      <w:r w:rsidRPr="00485C21">
        <w:t>alcohol dependency.  The subjects kept track of their daily alcohol consumption and reported</w:t>
      </w:r>
      <w:r w:rsidR="004977CD">
        <w:t xml:space="preserve"> </w:t>
      </w:r>
      <w:r w:rsidRPr="00485C21">
        <w:t>the total number of drinks consumed in the last 30 days on the 30</w:t>
      </w:r>
      <w:r w:rsidRPr="004977CD">
        <w:rPr>
          <w:vertAlign w:val="superscript"/>
        </w:rPr>
        <w:t>th</w:t>
      </w:r>
      <w:r w:rsidR="004977CD">
        <w:t xml:space="preserve"> </w:t>
      </w:r>
      <w:r w:rsidRPr="00485C21">
        <w:t>and 60</w:t>
      </w:r>
      <w:r w:rsidRPr="004977CD">
        <w:rPr>
          <w:vertAlign w:val="superscript"/>
        </w:rPr>
        <w:t>th</w:t>
      </w:r>
      <w:r w:rsidR="004977CD">
        <w:t xml:space="preserve"> </w:t>
      </w:r>
      <w:r w:rsidRPr="00485C21">
        <w:t>day.</w:t>
      </w:r>
    </w:p>
    <w:p w14:paraId="58A390B2" w14:textId="77777777" w:rsidR="004977CD" w:rsidRDefault="00485C21" w:rsidP="003F0A64">
      <w:pPr>
        <w:pStyle w:val="ListParagraph"/>
        <w:numPr>
          <w:ilvl w:val="0"/>
          <w:numId w:val="2"/>
        </w:numPr>
      </w:pPr>
      <w:r w:rsidRPr="00485C21">
        <w:t>Treatment 2:  Subjects were given DVD, pamphlets and other instructional materials related</w:t>
      </w:r>
      <w:r w:rsidR="004977CD">
        <w:t xml:space="preserve"> </w:t>
      </w:r>
      <w:r w:rsidRPr="00485C21">
        <w:t>alcohol dependency but were also required to report the number of drinks consumed at the</w:t>
      </w:r>
      <w:r w:rsidR="004977CD">
        <w:t xml:space="preserve"> </w:t>
      </w:r>
      <w:r w:rsidRPr="00485C21">
        <w:t>end of every week.</w:t>
      </w:r>
    </w:p>
    <w:p w14:paraId="15F2EE8F" w14:textId="68CCAFEF" w:rsidR="00485C21" w:rsidRDefault="00485C21" w:rsidP="003F0A64">
      <w:pPr>
        <w:pStyle w:val="ListParagraph"/>
        <w:numPr>
          <w:ilvl w:val="0"/>
          <w:numId w:val="2"/>
        </w:numPr>
      </w:pPr>
      <w:r w:rsidRPr="00485C21">
        <w:lastRenderedPageBreak/>
        <w:t>Treatment 3:  Subjects were given DVD, pamphlets and other instructional materials related</w:t>
      </w:r>
      <w:r w:rsidR="004977CD">
        <w:t xml:space="preserve"> </w:t>
      </w:r>
      <w:r w:rsidRPr="00485C21">
        <w:t>alcohol dependency but were also required to report the number of drinks consumed daily</w:t>
      </w:r>
      <w:r w:rsidR="004977CD">
        <w:t xml:space="preserve"> </w:t>
      </w:r>
      <w:r w:rsidRPr="00485C21">
        <w:t>using a toll-free phone number.</w:t>
      </w:r>
    </w:p>
    <w:p w14:paraId="23B69B06" w14:textId="77777777" w:rsidR="004977CD" w:rsidRDefault="004977CD" w:rsidP="003F0A64">
      <w:r w:rsidRPr="004977CD">
        <w:t>The subjects were also followed up 6 months after the end of treatment.  Based on an a priori set</w:t>
      </w:r>
      <w:r>
        <w:t xml:space="preserve"> </w:t>
      </w:r>
      <w:r w:rsidRPr="004977CD">
        <w:t>criteria, the researchers classified the subjects as having relapsed into alcohol dependence or not.</w:t>
      </w:r>
    </w:p>
    <w:p w14:paraId="2F65FC10" w14:textId="77777777" w:rsidR="00485C21" w:rsidRDefault="00485C21" w:rsidP="004977CD">
      <w:pPr>
        <w:pStyle w:val="ListParagraph"/>
        <w:numPr>
          <w:ilvl w:val="0"/>
          <w:numId w:val="1"/>
        </w:numPr>
        <w:rPr>
          <w:b/>
          <w:bCs/>
          <w:szCs w:val="24"/>
        </w:rPr>
      </w:pPr>
      <w:r>
        <w:rPr>
          <w:b/>
          <w:bCs/>
          <w:szCs w:val="24"/>
        </w:rPr>
        <w:t>Statistical Analysis</w:t>
      </w:r>
    </w:p>
    <w:p w14:paraId="7683C534" w14:textId="11CFC12A" w:rsidR="00670424" w:rsidRPr="00670424" w:rsidRDefault="00670424" w:rsidP="00670424">
      <w:pPr>
        <w:rPr>
          <w:szCs w:val="24"/>
        </w:rPr>
      </w:pPr>
      <w:r>
        <w:rPr>
          <w:szCs w:val="24"/>
        </w:rPr>
        <w:t xml:space="preserve">In order to </w:t>
      </w:r>
      <w:r>
        <w:t>find out treatment effects on alcohol consumptions, relapse and influence of gender, I used data to fit generalized linear model</w:t>
      </w:r>
      <w:r w:rsidR="007E69AC">
        <w:t>s</w:t>
      </w:r>
      <w:r>
        <w:t>, g</w:t>
      </w:r>
      <w:r w:rsidRPr="00670424">
        <w:t xml:space="preserve">eneralized </w:t>
      </w:r>
      <w:r>
        <w:t>e</w:t>
      </w:r>
      <w:r w:rsidRPr="00670424">
        <w:t xml:space="preserve">stimating </w:t>
      </w:r>
      <w:r>
        <w:t>e</w:t>
      </w:r>
      <w:r w:rsidRPr="00670424">
        <w:t xml:space="preserve">quation </w:t>
      </w:r>
      <w:proofErr w:type="gramStart"/>
      <w:r>
        <w:t>model</w:t>
      </w:r>
      <w:r w:rsidR="007E69AC">
        <w:t>s</w:t>
      </w:r>
      <w:r w:rsidRPr="00670424">
        <w:t>(</w:t>
      </w:r>
      <w:proofErr w:type="gramEnd"/>
      <w:r w:rsidRPr="00670424">
        <w:t>GEE)</w:t>
      </w:r>
      <w:r w:rsidR="007E69AC">
        <w:t xml:space="preserve">, </w:t>
      </w:r>
      <w:r w:rsidR="007E69AC" w:rsidRPr="007E69AC">
        <w:rPr>
          <w:highlight w:val="yellow"/>
        </w:rPr>
        <w:t>mixed effect models</w:t>
      </w:r>
      <w:r>
        <w:t xml:space="preserve"> and draw plots to get results.</w:t>
      </w:r>
    </w:p>
    <w:p w14:paraId="38316276" w14:textId="77777777" w:rsidR="009B28E2" w:rsidRDefault="009B28E2" w:rsidP="003F0A64">
      <w:pPr>
        <w:pStyle w:val="Heading1"/>
      </w:pPr>
      <w:r>
        <w:t>Results</w:t>
      </w:r>
    </w:p>
    <w:p w14:paraId="599B2B66" w14:textId="77777777" w:rsidR="004977CD" w:rsidRDefault="004977CD" w:rsidP="004977CD">
      <w:pPr>
        <w:pStyle w:val="ListParagraph"/>
        <w:numPr>
          <w:ilvl w:val="0"/>
          <w:numId w:val="3"/>
        </w:numPr>
        <w:rPr>
          <w:b/>
          <w:bCs/>
          <w:szCs w:val="24"/>
        </w:rPr>
      </w:pPr>
      <w:r w:rsidRPr="00485C21">
        <w:rPr>
          <w:b/>
          <w:bCs/>
          <w:szCs w:val="24"/>
        </w:rPr>
        <w:t>Data description</w:t>
      </w:r>
    </w:p>
    <w:p w14:paraId="2750AE17" w14:textId="380C1762" w:rsidR="00F33198" w:rsidRPr="00365668" w:rsidRDefault="00365668" w:rsidP="00365668">
      <w:pPr>
        <w:rPr>
          <w:szCs w:val="24"/>
        </w:rPr>
      </w:pPr>
      <w:r>
        <w:rPr>
          <w:szCs w:val="24"/>
        </w:rPr>
        <w:t xml:space="preserve">After study, we get data with 314 observations for 314 subjects and 7 variables, including  </w:t>
      </w:r>
      <w:proofErr w:type="spellStart"/>
      <w:r>
        <w:rPr>
          <w:szCs w:val="24"/>
        </w:rPr>
        <w:t>sid</w:t>
      </w:r>
      <w:proofErr w:type="spellEnd"/>
      <w:r>
        <w:rPr>
          <w:szCs w:val="24"/>
        </w:rPr>
        <w:t>(Subject ID), Treatment, Gender, ND0(</w:t>
      </w:r>
      <w:bookmarkStart w:id="2" w:name="OLE_LINK3"/>
      <w:bookmarkStart w:id="3" w:name="OLE_LINK4"/>
      <w:r w:rsidRPr="00365668">
        <w:rPr>
          <w:szCs w:val="24"/>
        </w:rPr>
        <w:t>Total Number of drinks consumed in the 30 days prior to randomization</w:t>
      </w:r>
      <w:bookmarkEnd w:id="2"/>
      <w:bookmarkEnd w:id="3"/>
      <w:r>
        <w:rPr>
          <w:szCs w:val="24"/>
        </w:rPr>
        <w:t>), ND30(</w:t>
      </w:r>
      <w:r w:rsidRPr="00365668">
        <w:rPr>
          <w:szCs w:val="24"/>
        </w:rPr>
        <w:t>Total Number of drinks consumed in the 30 days following randomization</w:t>
      </w:r>
      <w:r>
        <w:rPr>
          <w:szCs w:val="24"/>
        </w:rPr>
        <w:t>), ND60(</w:t>
      </w:r>
      <w:r w:rsidRPr="00365668">
        <w:rPr>
          <w:szCs w:val="24"/>
        </w:rPr>
        <w:t xml:space="preserve">Total  Number  of  drinks  consumed  in  the  30  days  between  the  </w:t>
      </w:r>
      <w:bookmarkStart w:id="4" w:name="OLE_LINK8"/>
      <w:bookmarkStart w:id="5" w:name="OLE_LINK9"/>
      <w:r w:rsidRPr="00365668">
        <w:rPr>
          <w:szCs w:val="24"/>
        </w:rPr>
        <w:t>30</w:t>
      </w:r>
      <w:r w:rsidRPr="00365668">
        <w:rPr>
          <w:szCs w:val="24"/>
          <w:vertAlign w:val="superscript"/>
        </w:rPr>
        <w:t>th</w:t>
      </w:r>
      <w:r>
        <w:rPr>
          <w:szCs w:val="24"/>
        </w:rPr>
        <w:t xml:space="preserve"> </w:t>
      </w:r>
      <w:r w:rsidRPr="00365668">
        <w:rPr>
          <w:szCs w:val="24"/>
        </w:rPr>
        <w:t>and  60</w:t>
      </w:r>
      <w:r w:rsidRPr="00365668">
        <w:rPr>
          <w:szCs w:val="24"/>
          <w:vertAlign w:val="superscript"/>
        </w:rPr>
        <w:t>th</w:t>
      </w:r>
      <w:r>
        <w:rPr>
          <w:szCs w:val="24"/>
        </w:rPr>
        <w:t xml:space="preserve"> </w:t>
      </w:r>
      <w:r w:rsidRPr="00365668">
        <w:rPr>
          <w:szCs w:val="24"/>
        </w:rPr>
        <w:t>day</w:t>
      </w:r>
      <w:r>
        <w:rPr>
          <w:szCs w:val="24"/>
        </w:rPr>
        <w:t xml:space="preserve"> </w:t>
      </w:r>
      <w:r w:rsidRPr="00365668">
        <w:rPr>
          <w:szCs w:val="24"/>
        </w:rPr>
        <w:t>follow-up</w:t>
      </w:r>
      <w:bookmarkEnd w:id="4"/>
      <w:bookmarkEnd w:id="5"/>
      <w:r>
        <w:rPr>
          <w:szCs w:val="24"/>
        </w:rPr>
        <w:t>) and Relapse.</w:t>
      </w:r>
      <w:r w:rsidR="00F33198">
        <w:rPr>
          <w:szCs w:val="24"/>
        </w:rPr>
        <w:t xml:space="preserve"> </w:t>
      </w:r>
      <w:r w:rsidR="00F33198" w:rsidRPr="00AA70ED">
        <w:rPr>
          <w:b/>
          <w:bCs/>
          <w:szCs w:val="24"/>
        </w:rPr>
        <w:t>Table 1</w:t>
      </w:r>
      <w:r w:rsidR="00F33198">
        <w:rPr>
          <w:szCs w:val="24"/>
        </w:rPr>
        <w:t xml:space="preserve"> shows summary of data.</w:t>
      </w:r>
    </w:p>
    <w:p w14:paraId="5D33748E" w14:textId="77777777" w:rsidR="000B5EE8" w:rsidRDefault="004977CD" w:rsidP="000B5EE8">
      <w:pPr>
        <w:pStyle w:val="ListParagraph"/>
        <w:numPr>
          <w:ilvl w:val="0"/>
          <w:numId w:val="3"/>
        </w:numPr>
        <w:rPr>
          <w:b/>
          <w:bCs/>
          <w:szCs w:val="24"/>
        </w:rPr>
      </w:pPr>
      <w:r>
        <w:rPr>
          <w:b/>
          <w:bCs/>
          <w:szCs w:val="24"/>
        </w:rPr>
        <w:t>Treatment effects on alcohol consumption</w:t>
      </w:r>
    </w:p>
    <w:p w14:paraId="4A4F7750" w14:textId="5F68F80C" w:rsidR="00D71856" w:rsidRDefault="00D71856" w:rsidP="000B5EE8">
      <w:pPr>
        <w:rPr>
          <w:szCs w:val="24"/>
        </w:rPr>
      </w:pPr>
      <w:r>
        <w:rPr>
          <w:szCs w:val="24"/>
        </w:rPr>
        <w:t xml:space="preserve">2.1 Treatment effects </w:t>
      </w:r>
      <w:proofErr w:type="gramStart"/>
      <w:r>
        <w:rPr>
          <w:szCs w:val="24"/>
        </w:rPr>
        <w:t>in a given</w:t>
      </w:r>
      <w:proofErr w:type="gramEnd"/>
      <w:r>
        <w:rPr>
          <w:szCs w:val="24"/>
        </w:rPr>
        <w:t xml:space="preserve"> 30-day period </w:t>
      </w:r>
    </w:p>
    <w:p w14:paraId="06037AFE" w14:textId="64970F28" w:rsidR="00C266A6" w:rsidRDefault="00D71856" w:rsidP="000B5EE8">
      <w:pPr>
        <w:rPr>
          <w:szCs w:val="24"/>
        </w:rPr>
      </w:pPr>
      <w:r>
        <w:rPr>
          <w:szCs w:val="24"/>
        </w:rPr>
        <w:lastRenderedPageBreak/>
        <w:t>F</w:t>
      </w:r>
      <w:r>
        <w:rPr>
          <w:rFonts w:hint="eastAsia"/>
          <w:szCs w:val="24"/>
        </w:rPr>
        <w:t>i</w:t>
      </w:r>
      <w:r>
        <w:rPr>
          <w:szCs w:val="24"/>
        </w:rPr>
        <w:t xml:space="preserve">rst, I’m curious about treatment effects of three types of interventions </w:t>
      </w:r>
      <w:r w:rsidR="00C266A6">
        <w:rPr>
          <w:szCs w:val="24"/>
        </w:rPr>
        <w:t xml:space="preserve">in two given 30-day period. I fitted two generalized linear models for two given 30-day period. </w:t>
      </w:r>
    </w:p>
    <w:p w14:paraId="1A0B6160" w14:textId="2B8DDBD8" w:rsidR="000B5EE8" w:rsidRDefault="00C266A6" w:rsidP="000B5EE8">
      <w:pPr>
        <w:rPr>
          <w:szCs w:val="24"/>
        </w:rPr>
      </w:pPr>
      <w:r>
        <w:rPr>
          <w:szCs w:val="24"/>
        </w:rPr>
        <w:t>For the first 30 days following randomization, we have dependent variable “ND30(</w:t>
      </w:r>
      <w:r w:rsidRPr="00365668">
        <w:rPr>
          <w:szCs w:val="24"/>
        </w:rPr>
        <w:t>Total Number of drinks consumed in the 30 days prior to randomization</w:t>
      </w:r>
      <w:r>
        <w:rPr>
          <w:szCs w:val="24"/>
        </w:rPr>
        <w:t xml:space="preserve">)” which follows </w:t>
      </w:r>
      <w:proofErr w:type="spellStart"/>
      <w:r>
        <w:rPr>
          <w:szCs w:val="24"/>
        </w:rPr>
        <w:t>po</w:t>
      </w:r>
      <w:r w:rsidR="00AA70ED">
        <w:rPr>
          <w:szCs w:val="24"/>
        </w:rPr>
        <w:t>is</w:t>
      </w:r>
      <w:r>
        <w:rPr>
          <w:szCs w:val="24"/>
        </w:rPr>
        <w:t>son</w:t>
      </w:r>
      <w:proofErr w:type="spellEnd"/>
      <w:r>
        <w:rPr>
          <w:szCs w:val="24"/>
        </w:rPr>
        <w:t xml:space="preserve"> distribution and key predictor is “Treatment”. We adjust for covariates “Gender” and “ND0</w:t>
      </w:r>
      <w:r w:rsidR="00537BFB">
        <w:rPr>
          <w:szCs w:val="24"/>
        </w:rPr>
        <w:t>(</w:t>
      </w:r>
      <w:r w:rsidR="00537BFB" w:rsidRPr="00365668">
        <w:rPr>
          <w:szCs w:val="24"/>
        </w:rPr>
        <w:t>Total Number of drinks consumed in the 30 days prior to randomization</w:t>
      </w:r>
      <w:r w:rsidR="00537BFB">
        <w:rPr>
          <w:szCs w:val="24"/>
        </w:rPr>
        <w:t>)</w:t>
      </w:r>
      <w:r>
        <w:rPr>
          <w:szCs w:val="24"/>
        </w:rPr>
        <w:t>” and get following model.</w:t>
      </w:r>
    </w:p>
    <w:p w14:paraId="0D756FCC" w14:textId="66778C04" w:rsidR="003E3A29" w:rsidRDefault="00C266A6" w:rsidP="003E3A29">
      <w:pPr>
        <w:jc w:val="center"/>
      </w:pPr>
      <w:r>
        <w:t xml:space="preserve">Model 1: </w:t>
      </w:r>
      <m:oMath>
        <m:r>
          <w:rPr>
            <w:rFonts w:ascii="Cambria Math" w:hAnsi="Cambria Math"/>
          </w:rPr>
          <m:t>logE[ND30]=</m:t>
        </m:r>
        <m:sSub>
          <m:sSubPr>
            <m:ctrlPr>
              <w:rPr>
                <w:rFonts w:ascii="Cambria Math" w:hAnsi="Cambria Math" w:cs="Times New Roman"/>
                <w:szCs w:val="24"/>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imes New Roman"/>
                <w:szCs w:val="24"/>
              </w:rPr>
            </m:ctrlPr>
          </m:sSubPr>
          <m:e>
            <m:r>
              <w:rPr>
                <w:rFonts w:ascii="Cambria Math" w:hAnsi="Cambria Math"/>
              </w:rPr>
              <m:t>β</m:t>
            </m:r>
          </m:e>
          <m:sub>
            <m:r>
              <w:rPr>
                <w:rFonts w:ascii="Cambria Math" w:hAnsi="Cambria Math"/>
              </w:rPr>
              <m:t>1</m:t>
            </m:r>
          </m:sub>
        </m:sSub>
        <m:r>
          <w:rPr>
            <w:rFonts w:ascii="Cambria Math" w:hAnsi="Cambria Math"/>
          </w:rPr>
          <m:t>Treatment+</m:t>
        </m:r>
        <m:sSub>
          <m:sSubPr>
            <m:ctrlPr>
              <w:rPr>
                <w:rFonts w:ascii="Cambria Math" w:hAnsi="Cambria Math" w:cs="Times New Roman"/>
                <w:szCs w:val="24"/>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cs="Times New Roman"/>
                <w:szCs w:val="24"/>
              </w:rPr>
            </m:ctrlPr>
          </m:sSubPr>
          <m:e>
            <m:r>
              <w:rPr>
                <w:rFonts w:ascii="Cambria Math" w:hAnsi="Cambria Math"/>
              </w:rPr>
              <m:t>β</m:t>
            </m:r>
          </m:e>
          <m:sub>
            <m:r>
              <w:rPr>
                <w:rFonts w:ascii="Cambria Math" w:hAnsi="Cambria Math"/>
              </w:rPr>
              <m:t>3</m:t>
            </m:r>
          </m:sub>
        </m:sSub>
        <m:r>
          <w:rPr>
            <w:rFonts w:ascii="Cambria Math" w:hAnsi="Cambria Math"/>
          </w:rPr>
          <m:t>ND0</m:t>
        </m:r>
      </m:oMath>
    </w:p>
    <w:p w14:paraId="17E57ACE" w14:textId="0ED7AE37" w:rsidR="00AA70ED" w:rsidRDefault="00AA70ED" w:rsidP="00AA70ED">
      <w:pPr>
        <w:pStyle w:val="BodyText"/>
      </w:pPr>
      <w:r w:rsidRPr="00AA70ED">
        <w:rPr>
          <w:b/>
          <w:bCs/>
          <w:szCs w:val="24"/>
        </w:rPr>
        <w:t>Table 2</w:t>
      </w:r>
      <w:r>
        <w:rPr>
          <w:szCs w:val="24"/>
        </w:rPr>
        <w:t xml:space="preserve"> shows results of Model 1. </w:t>
      </w:r>
      <w:r w:rsidR="00F13E78">
        <w:t>After taking exponential</w:t>
      </w:r>
      <w:r>
        <w:t>, we can find that the total number of drinks ratio between people who get Treatment 2 and people who get Treatment 1 is 0.984</w:t>
      </w:r>
      <w:r w:rsidR="006D0BD2">
        <w:t xml:space="preserve"> on average</w:t>
      </w:r>
      <w:r>
        <w:t xml:space="preserve"> and the total number of drinks ratio between people who get Treatment 3 and people who get Treatment 1 is 0.670</w:t>
      </w:r>
      <w:r w:rsidR="006D0BD2">
        <w:t xml:space="preserve"> on average</w:t>
      </w:r>
      <w:r>
        <w:t>. This means for the 30 days following randomization, the effect of Treatment 3 is better than that of Treatment 2 and the effect of Treatment 2 is better than that of Treatment 1.</w:t>
      </w:r>
    </w:p>
    <w:p w14:paraId="3B393315" w14:textId="30A291CE" w:rsidR="00AA70ED" w:rsidRDefault="00AA70ED" w:rsidP="00C266A6">
      <w:pPr>
        <w:rPr>
          <w:szCs w:val="24"/>
        </w:rPr>
      </w:pPr>
      <w:r>
        <w:rPr>
          <w:szCs w:val="24"/>
        </w:rPr>
        <w:t>For the 30 days between the 30</w:t>
      </w:r>
      <w:r>
        <w:rPr>
          <w:szCs w:val="24"/>
          <w:vertAlign w:val="superscript"/>
        </w:rPr>
        <w:t>th</w:t>
      </w:r>
      <w:r>
        <w:rPr>
          <w:szCs w:val="24"/>
        </w:rPr>
        <w:t xml:space="preserve"> and  60</w:t>
      </w:r>
      <w:r>
        <w:rPr>
          <w:szCs w:val="24"/>
          <w:vertAlign w:val="superscript"/>
        </w:rPr>
        <w:t>th</w:t>
      </w:r>
      <w:r>
        <w:rPr>
          <w:szCs w:val="24"/>
        </w:rPr>
        <w:t xml:space="preserve"> day follow-up, we have dependent variables “ND60(</w:t>
      </w:r>
      <w:r w:rsidR="00537BFB" w:rsidRPr="00365668">
        <w:rPr>
          <w:szCs w:val="24"/>
        </w:rPr>
        <w:t>Total  Number  of  drinks  consumed  in  the  30  days  between  the  30</w:t>
      </w:r>
      <w:r w:rsidR="00537BFB" w:rsidRPr="00365668">
        <w:rPr>
          <w:szCs w:val="24"/>
          <w:vertAlign w:val="superscript"/>
        </w:rPr>
        <w:t>th</w:t>
      </w:r>
      <w:r w:rsidR="00537BFB">
        <w:rPr>
          <w:szCs w:val="24"/>
        </w:rPr>
        <w:t xml:space="preserve"> </w:t>
      </w:r>
      <w:r w:rsidR="00537BFB" w:rsidRPr="00365668">
        <w:rPr>
          <w:szCs w:val="24"/>
        </w:rPr>
        <w:t>and  60</w:t>
      </w:r>
      <w:r w:rsidR="00537BFB" w:rsidRPr="00365668">
        <w:rPr>
          <w:szCs w:val="24"/>
          <w:vertAlign w:val="superscript"/>
        </w:rPr>
        <w:t>th</w:t>
      </w:r>
      <w:r w:rsidR="00537BFB">
        <w:rPr>
          <w:szCs w:val="24"/>
        </w:rPr>
        <w:t xml:space="preserve"> </w:t>
      </w:r>
      <w:r w:rsidR="00537BFB" w:rsidRPr="00365668">
        <w:rPr>
          <w:szCs w:val="24"/>
        </w:rPr>
        <w:t>day</w:t>
      </w:r>
      <w:r w:rsidR="00537BFB">
        <w:rPr>
          <w:szCs w:val="24"/>
        </w:rPr>
        <w:t xml:space="preserve"> </w:t>
      </w:r>
      <w:r w:rsidR="00537BFB" w:rsidRPr="00365668">
        <w:rPr>
          <w:szCs w:val="24"/>
        </w:rPr>
        <w:t>follow-up</w:t>
      </w:r>
      <w:r>
        <w:rPr>
          <w:szCs w:val="24"/>
        </w:rPr>
        <w:t xml:space="preserve">)” which follows </w:t>
      </w:r>
      <w:proofErr w:type="spellStart"/>
      <w:r>
        <w:rPr>
          <w:szCs w:val="24"/>
        </w:rPr>
        <w:t>poisson</w:t>
      </w:r>
      <w:proofErr w:type="spellEnd"/>
      <w:r>
        <w:rPr>
          <w:szCs w:val="24"/>
        </w:rPr>
        <w:t xml:space="preserve"> di</w:t>
      </w:r>
      <w:r w:rsidR="00537BFB">
        <w:rPr>
          <w:szCs w:val="24"/>
        </w:rPr>
        <w:t>stribution, key predictor “Treatment” and covariates “Gender”, “ND0” and “ND30”.</w:t>
      </w:r>
    </w:p>
    <w:p w14:paraId="3D7CCAC2" w14:textId="095A2ABF" w:rsidR="004C1115" w:rsidRDefault="00537BFB" w:rsidP="003E3A29">
      <w:pPr>
        <w:jc w:val="center"/>
      </w:pPr>
      <w:r>
        <w:t xml:space="preserve">Model 2: </w:t>
      </w:r>
      <m:oMath>
        <m:r>
          <w:rPr>
            <w:rFonts w:ascii="Cambria Math" w:hAnsi="Cambria Math"/>
          </w:rPr>
          <m:t>logE[ND60]=</m:t>
        </m:r>
        <m:sSub>
          <m:sSubPr>
            <m:ctrlPr>
              <w:rPr>
                <w:rFonts w:ascii="Cambria Math" w:hAnsi="Cambria Math" w:cs="Times New Roman"/>
                <w:szCs w:val="24"/>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imes New Roman"/>
                <w:szCs w:val="24"/>
              </w:rPr>
            </m:ctrlPr>
          </m:sSubPr>
          <m:e>
            <m:r>
              <w:rPr>
                <w:rFonts w:ascii="Cambria Math" w:hAnsi="Cambria Math"/>
              </w:rPr>
              <m:t>β</m:t>
            </m:r>
          </m:e>
          <m:sub>
            <m:r>
              <w:rPr>
                <w:rFonts w:ascii="Cambria Math" w:hAnsi="Cambria Math"/>
              </w:rPr>
              <m:t>1</m:t>
            </m:r>
          </m:sub>
        </m:sSub>
        <m:r>
          <w:rPr>
            <w:rFonts w:ascii="Cambria Math" w:hAnsi="Cambria Math"/>
          </w:rPr>
          <m:t>Treatment+</m:t>
        </m:r>
        <m:sSub>
          <m:sSubPr>
            <m:ctrlPr>
              <w:rPr>
                <w:rFonts w:ascii="Cambria Math" w:hAnsi="Cambria Math" w:cs="Times New Roman"/>
                <w:szCs w:val="24"/>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cs="Times New Roman"/>
                <w:szCs w:val="24"/>
              </w:rPr>
            </m:ctrlPr>
          </m:sSubPr>
          <m:e>
            <m:r>
              <w:rPr>
                <w:rFonts w:ascii="Cambria Math" w:hAnsi="Cambria Math"/>
              </w:rPr>
              <m:t>β</m:t>
            </m:r>
          </m:e>
          <m:sub>
            <m:r>
              <w:rPr>
                <w:rFonts w:ascii="Cambria Math" w:hAnsi="Cambria Math"/>
              </w:rPr>
              <m:t>3</m:t>
            </m:r>
          </m:sub>
        </m:sSub>
        <m:r>
          <w:rPr>
            <w:rFonts w:ascii="Cambria Math" w:hAnsi="Cambria Math"/>
          </w:rPr>
          <m:t>ND0+</m:t>
        </m:r>
        <m:sSub>
          <m:sSubPr>
            <m:ctrlPr>
              <w:rPr>
                <w:rFonts w:ascii="Cambria Math" w:hAnsi="Cambria Math" w:cs="Times New Roman"/>
                <w:szCs w:val="24"/>
              </w:rPr>
            </m:ctrlPr>
          </m:sSubPr>
          <m:e>
            <m:r>
              <w:rPr>
                <w:rFonts w:ascii="Cambria Math" w:hAnsi="Cambria Math"/>
              </w:rPr>
              <m:t>β</m:t>
            </m:r>
          </m:e>
          <m:sub>
            <m:r>
              <w:rPr>
                <w:rFonts w:ascii="Cambria Math" w:hAnsi="Cambria Math"/>
              </w:rPr>
              <m:t>4</m:t>
            </m:r>
          </m:sub>
        </m:sSub>
        <m:r>
          <w:rPr>
            <w:rFonts w:ascii="Cambria Math" w:hAnsi="Cambria Math"/>
          </w:rPr>
          <m:t>ND30</m:t>
        </m:r>
      </m:oMath>
    </w:p>
    <w:p w14:paraId="22CDF5B9" w14:textId="6A322C11" w:rsidR="004C1115" w:rsidRDefault="004C1115" w:rsidP="004C1115">
      <w:pPr>
        <w:pStyle w:val="BodyText"/>
      </w:pPr>
      <w:r w:rsidRPr="00AA70ED">
        <w:rPr>
          <w:b/>
          <w:bCs/>
          <w:szCs w:val="24"/>
        </w:rPr>
        <w:t xml:space="preserve">Table </w:t>
      </w:r>
      <w:r>
        <w:rPr>
          <w:b/>
          <w:bCs/>
          <w:szCs w:val="24"/>
        </w:rPr>
        <w:t xml:space="preserve">3 </w:t>
      </w:r>
      <w:r>
        <w:rPr>
          <w:szCs w:val="24"/>
        </w:rPr>
        <w:t xml:space="preserve">shows results of Model 2. </w:t>
      </w:r>
      <w:r w:rsidR="009511C4">
        <w:t xml:space="preserve">According to results above, we can find that the total number of drinks ratio between people who get Treatment 2 and people who get Treatment 1 is 0.6771 </w:t>
      </w:r>
      <w:r w:rsidR="006D0BD2">
        <w:t xml:space="preserve">on average </w:t>
      </w:r>
      <w:r w:rsidR="009511C4">
        <w:t xml:space="preserve">and the total number of drinks ratio between people who get Treatment 3 and people </w:t>
      </w:r>
      <w:r w:rsidR="009511C4">
        <w:lastRenderedPageBreak/>
        <w:t>who get Treatment 1 is 0.7024</w:t>
      </w:r>
      <w:r w:rsidR="006D0BD2">
        <w:t xml:space="preserve"> on average</w:t>
      </w:r>
      <w:r w:rsidR="009511C4">
        <w:t xml:space="preserve">. This means for the </w:t>
      </w:r>
      <w:r w:rsidR="001F1824">
        <w:rPr>
          <w:szCs w:val="24"/>
        </w:rPr>
        <w:t>30 days between the 30</w:t>
      </w:r>
      <w:r w:rsidR="001F1824">
        <w:rPr>
          <w:szCs w:val="24"/>
          <w:vertAlign w:val="superscript"/>
        </w:rPr>
        <w:t>th</w:t>
      </w:r>
      <w:r w:rsidR="001F1824">
        <w:rPr>
          <w:szCs w:val="24"/>
        </w:rPr>
        <w:t xml:space="preserve"> and 60</w:t>
      </w:r>
      <w:r w:rsidR="001F1824">
        <w:rPr>
          <w:szCs w:val="24"/>
          <w:vertAlign w:val="superscript"/>
        </w:rPr>
        <w:t>th</w:t>
      </w:r>
      <w:r w:rsidR="001F1824">
        <w:rPr>
          <w:szCs w:val="24"/>
        </w:rPr>
        <w:t xml:space="preserve"> day follow-up</w:t>
      </w:r>
      <w:r w:rsidR="009511C4">
        <w:t>, the effect of Treatment 2 is slightly better than that of Treatment 3 and the effect of Treatment 3 is better than that of Treatment 1.</w:t>
      </w:r>
    </w:p>
    <w:p w14:paraId="52E7768A" w14:textId="1342A84C" w:rsidR="004C1115" w:rsidRDefault="004C1115" w:rsidP="004C1115">
      <w:pPr>
        <w:pStyle w:val="BodyText"/>
        <w:numPr>
          <w:ilvl w:val="1"/>
          <w:numId w:val="3"/>
        </w:numPr>
      </w:pPr>
      <w:r>
        <w:t>Change patterns of three treatment groups</w:t>
      </w:r>
    </w:p>
    <w:p w14:paraId="60ADF267" w14:textId="77777777" w:rsidR="003F0A64" w:rsidRDefault="0064456E" w:rsidP="0064456E">
      <w:r>
        <w:t>We also curious about whether the change patterns in three treatment groups are different</w:t>
      </w:r>
      <w:r w:rsidR="00F13E78">
        <w:t xml:space="preserve">. </w:t>
      </w:r>
      <w:r w:rsidR="008712A1" w:rsidRPr="008712A1">
        <w:rPr>
          <w:b/>
          <w:bCs/>
        </w:rPr>
        <w:t>Figure 1</w:t>
      </w:r>
      <w:r w:rsidR="008712A1">
        <w:t xml:space="preserve"> shows</w:t>
      </w:r>
      <w:r w:rsidR="00F13E78">
        <w:t xml:space="preserve"> how total numbers of drinks change from 30-day period prior to randomization to 30-day period </w:t>
      </w:r>
      <w:r w:rsidR="00F13E78" w:rsidRPr="00365668">
        <w:rPr>
          <w:szCs w:val="24"/>
        </w:rPr>
        <w:t>between the 30</w:t>
      </w:r>
      <w:r w:rsidR="00F13E78" w:rsidRPr="00365668">
        <w:rPr>
          <w:szCs w:val="24"/>
          <w:vertAlign w:val="superscript"/>
        </w:rPr>
        <w:t>th</w:t>
      </w:r>
      <w:r w:rsidR="00F13E78">
        <w:rPr>
          <w:szCs w:val="24"/>
        </w:rPr>
        <w:t xml:space="preserve"> </w:t>
      </w:r>
      <w:r w:rsidR="00F13E78" w:rsidRPr="00365668">
        <w:rPr>
          <w:szCs w:val="24"/>
        </w:rPr>
        <w:t>and 60</w:t>
      </w:r>
      <w:r w:rsidR="00F13E78" w:rsidRPr="00365668">
        <w:rPr>
          <w:szCs w:val="24"/>
          <w:vertAlign w:val="superscript"/>
        </w:rPr>
        <w:t>th</w:t>
      </w:r>
      <w:r w:rsidR="00F13E78">
        <w:rPr>
          <w:szCs w:val="24"/>
        </w:rPr>
        <w:t xml:space="preserve"> </w:t>
      </w:r>
      <w:r w:rsidR="00F13E78" w:rsidRPr="00365668">
        <w:rPr>
          <w:szCs w:val="24"/>
        </w:rPr>
        <w:t>day</w:t>
      </w:r>
      <w:r w:rsidR="00F13E78">
        <w:rPr>
          <w:szCs w:val="24"/>
        </w:rPr>
        <w:t xml:space="preserve"> </w:t>
      </w:r>
      <w:r w:rsidR="00F13E78" w:rsidRPr="00365668">
        <w:rPr>
          <w:szCs w:val="24"/>
        </w:rPr>
        <w:t>follow-up</w:t>
      </w:r>
      <w:r w:rsidR="00F13E78">
        <w:rPr>
          <w:szCs w:val="24"/>
        </w:rPr>
        <w:t xml:space="preserve">. </w:t>
      </w:r>
      <w:r w:rsidR="008712A1">
        <w:rPr>
          <w:szCs w:val="24"/>
        </w:rPr>
        <w:t xml:space="preserve">We can find that all treatments have significant effect on decreasing total numbers of drinks in the 30 days following randomization. But in the 30 days between </w:t>
      </w:r>
      <w:r w:rsidR="008712A1" w:rsidRPr="00365668">
        <w:rPr>
          <w:szCs w:val="24"/>
        </w:rPr>
        <w:t>the 30</w:t>
      </w:r>
      <w:r w:rsidR="008712A1" w:rsidRPr="00365668">
        <w:rPr>
          <w:szCs w:val="24"/>
          <w:vertAlign w:val="superscript"/>
        </w:rPr>
        <w:t>th</w:t>
      </w:r>
      <w:r w:rsidR="008712A1">
        <w:rPr>
          <w:szCs w:val="24"/>
        </w:rPr>
        <w:t xml:space="preserve"> </w:t>
      </w:r>
      <w:r w:rsidR="008712A1" w:rsidRPr="00365668">
        <w:rPr>
          <w:szCs w:val="24"/>
        </w:rPr>
        <w:t>and 60</w:t>
      </w:r>
      <w:r w:rsidR="008712A1" w:rsidRPr="00365668">
        <w:rPr>
          <w:szCs w:val="24"/>
          <w:vertAlign w:val="superscript"/>
        </w:rPr>
        <w:t>th</w:t>
      </w:r>
      <w:r w:rsidR="008712A1">
        <w:rPr>
          <w:szCs w:val="24"/>
        </w:rPr>
        <w:t xml:space="preserve"> </w:t>
      </w:r>
      <w:r w:rsidR="008712A1" w:rsidRPr="00365668">
        <w:rPr>
          <w:szCs w:val="24"/>
        </w:rPr>
        <w:t>day</w:t>
      </w:r>
      <w:r w:rsidR="008712A1">
        <w:rPr>
          <w:szCs w:val="24"/>
        </w:rPr>
        <w:t xml:space="preserve"> </w:t>
      </w:r>
      <w:r w:rsidR="008712A1" w:rsidRPr="00365668">
        <w:rPr>
          <w:szCs w:val="24"/>
        </w:rPr>
        <w:t>follow-up</w:t>
      </w:r>
      <w:r w:rsidR="007E69AC">
        <w:rPr>
          <w:szCs w:val="24"/>
        </w:rPr>
        <w:t>,</w:t>
      </w:r>
      <w:r w:rsidR="008712A1">
        <w:rPr>
          <w:szCs w:val="24"/>
        </w:rPr>
        <w:t xml:space="preserve"> treatment effects of </w:t>
      </w:r>
      <w:r w:rsidR="008646B5">
        <w:rPr>
          <w:szCs w:val="24"/>
        </w:rPr>
        <w:t>Treatment 1</w:t>
      </w:r>
      <w:r w:rsidR="008712A1">
        <w:rPr>
          <w:szCs w:val="24"/>
        </w:rPr>
        <w:t xml:space="preserve"> and </w:t>
      </w:r>
      <w:r w:rsidR="007E69AC">
        <w:rPr>
          <w:szCs w:val="24"/>
        </w:rPr>
        <w:t>T</w:t>
      </w:r>
      <w:r w:rsidR="008712A1">
        <w:rPr>
          <w:szCs w:val="24"/>
        </w:rPr>
        <w:t xml:space="preserve">reatment 3 decrease, but </w:t>
      </w:r>
      <w:r w:rsidR="0024728C">
        <w:rPr>
          <w:szCs w:val="24"/>
        </w:rPr>
        <w:t>T</w:t>
      </w:r>
      <w:r w:rsidR="008712A1">
        <w:rPr>
          <w:szCs w:val="24"/>
        </w:rPr>
        <w:t>reatment 2 still shows significant treatment effect on decreasing total alcohol consumption.</w:t>
      </w:r>
    </w:p>
    <w:p w14:paraId="771A85E1" w14:textId="5F5F28D2" w:rsidR="0064456E" w:rsidRDefault="00F13E78" w:rsidP="0064456E">
      <w:r>
        <w:t>I also</w:t>
      </w:r>
      <w:r w:rsidR="0064456E">
        <w:t xml:space="preserve"> fit</w:t>
      </w:r>
      <w:r>
        <w:t>ted</w:t>
      </w:r>
      <w:r w:rsidR="0064456E">
        <w:t xml:space="preserve"> </w:t>
      </w:r>
      <w:r>
        <w:t xml:space="preserve">a </w:t>
      </w:r>
      <w:r w:rsidR="0064456E">
        <w:t>g</w:t>
      </w:r>
      <w:r w:rsidR="0064456E" w:rsidRPr="00670424">
        <w:t xml:space="preserve">eneralized </w:t>
      </w:r>
      <w:r w:rsidR="0064456E">
        <w:t>e</w:t>
      </w:r>
      <w:r w:rsidR="0064456E" w:rsidRPr="00670424">
        <w:t xml:space="preserve">stimating </w:t>
      </w:r>
      <w:r w:rsidR="0064456E">
        <w:t>e</w:t>
      </w:r>
      <w:r w:rsidR="0064456E" w:rsidRPr="00670424">
        <w:t xml:space="preserve">quation </w:t>
      </w:r>
      <w:proofErr w:type="gramStart"/>
      <w:r w:rsidR="0064456E">
        <w:t>model</w:t>
      </w:r>
      <w:r w:rsidR="0064456E" w:rsidRPr="00670424">
        <w:t>(</w:t>
      </w:r>
      <w:proofErr w:type="gramEnd"/>
      <w:r w:rsidR="0064456E" w:rsidRPr="00670424">
        <w:t>GEE)</w:t>
      </w:r>
      <w:r w:rsidR="0064456E">
        <w:t xml:space="preserve">. Let </w:t>
      </w:r>
      <m:oMath>
        <m:sSub>
          <m:sSubPr>
            <m:ctrlPr>
              <w:rPr>
                <w:rFonts w:ascii="Cambria Math" w:hAnsi="Cambria Math"/>
                <w:szCs w:val="24"/>
                <w:lang w:eastAsia="en-US"/>
              </w:rPr>
            </m:ctrlPr>
          </m:sSubPr>
          <m:e>
            <m:r>
              <w:rPr>
                <w:rFonts w:ascii="Cambria Math" w:hAnsi="Cambria Math"/>
              </w:rPr>
              <m:t>y</m:t>
            </m:r>
          </m:e>
          <m:sub>
            <m:r>
              <w:rPr>
                <w:rFonts w:ascii="Cambria Math" w:hAnsi="Cambria Math"/>
              </w:rPr>
              <m:t>ij</m:t>
            </m:r>
          </m:sub>
        </m:sSub>
      </m:oMath>
      <w:r w:rsidR="0064456E">
        <w:t xml:space="preserve"> be the numbers of drinks consumed in the 30 days for subject </w:t>
      </w:r>
      <m:oMath>
        <m:r>
          <w:rPr>
            <w:rFonts w:ascii="Cambria Math" w:hAnsi="Cambria Math"/>
          </w:rPr>
          <m:t>i=1,2,...,314</m:t>
        </m:r>
      </m:oMath>
      <w:r w:rsidR="0064456E">
        <w:t xml:space="preserve"> at visit </w:t>
      </w:r>
      <m:oMath>
        <m:r>
          <w:rPr>
            <w:rFonts w:ascii="Cambria Math" w:hAnsi="Cambria Math"/>
          </w:rPr>
          <m:t>j=0,1,2</m:t>
        </m:r>
      </m:oMath>
      <w:r w:rsidR="0064456E">
        <w:t xml:space="preserve">. Assume </w:t>
      </w:r>
      <m:oMath>
        <m:sSub>
          <m:sSubPr>
            <m:ctrlPr>
              <w:rPr>
                <w:rFonts w:ascii="Cambria Math" w:hAnsi="Cambria Math"/>
                <w:szCs w:val="24"/>
                <w:lang w:eastAsia="en-US"/>
              </w:rPr>
            </m:ctrlPr>
          </m:sSubPr>
          <m:e>
            <m:r>
              <w:rPr>
                <w:rFonts w:ascii="Cambria Math" w:hAnsi="Cambria Math"/>
              </w:rPr>
              <m:t>y</m:t>
            </m:r>
          </m:e>
          <m:sub>
            <m:r>
              <w:rPr>
                <w:rFonts w:ascii="Cambria Math" w:hAnsi="Cambria Math"/>
              </w:rPr>
              <m:t>ij</m:t>
            </m:r>
          </m:sub>
        </m:sSub>
      </m:oMath>
      <w:r w:rsidR="0064456E">
        <w:t xml:space="preserve"> follows poisson distribution.</w:t>
      </w:r>
    </w:p>
    <w:p w14:paraId="4F8F0378" w14:textId="68A69805" w:rsidR="0064456E" w:rsidRDefault="0064456E" w:rsidP="00E52361">
      <w:pPr>
        <w:pStyle w:val="BodyText"/>
        <w:jc w:val="center"/>
        <w:rPr>
          <w:sz w:val="22"/>
        </w:rPr>
      </w:pPr>
      <w:r>
        <w:t xml:space="preserve">Model 3 : </w:t>
      </w:r>
      <m:oMath>
        <m:r>
          <w:rPr>
            <w:rFonts w:ascii="Cambria Math" w:hAnsi="Cambria Math"/>
            <w:sz w:val="22"/>
          </w:rPr>
          <m:t>log(</m:t>
        </m:r>
        <m:r>
          <w:rPr>
            <w:rFonts w:ascii="Cambria Math" w:hAnsi="Cambria Math"/>
            <w:sz w:val="22"/>
          </w:rPr>
          <m:t>E[</m:t>
        </m:r>
        <m:sSub>
          <m:sSubPr>
            <m:ctrlPr>
              <w:rPr>
                <w:rFonts w:ascii="Cambria Math" w:hAnsi="Cambria Math"/>
                <w:sz w:val="22"/>
                <w:lang w:eastAsia="en-US"/>
              </w:rPr>
            </m:ctrlPr>
          </m:sSubPr>
          <m:e>
            <m:r>
              <w:rPr>
                <w:rFonts w:ascii="Cambria Math" w:hAnsi="Cambria Math"/>
                <w:sz w:val="22"/>
              </w:rPr>
              <m:t>y</m:t>
            </m:r>
          </m:e>
          <m:sub>
            <m:r>
              <w:rPr>
                <w:rFonts w:ascii="Cambria Math" w:hAnsi="Cambria Math"/>
                <w:sz w:val="22"/>
              </w:rPr>
              <m:t>ij</m:t>
            </m:r>
          </m:sub>
        </m:sSub>
        <m:r>
          <w:rPr>
            <w:rFonts w:ascii="Cambria Math" w:hAnsi="Cambria Math"/>
            <w:sz w:val="22"/>
          </w:rPr>
          <m:t>]</m:t>
        </m:r>
        <m:r>
          <w:rPr>
            <w:rFonts w:ascii="Cambria Math" w:hAnsi="Cambria Math"/>
            <w:sz w:val="22"/>
          </w:rPr>
          <m:t>)=</m:t>
        </m:r>
        <m:sSub>
          <m:sSubPr>
            <m:ctrlPr>
              <w:rPr>
                <w:rFonts w:ascii="Cambria Math" w:hAnsi="Cambria Math"/>
                <w:sz w:val="22"/>
                <w:lang w:eastAsia="en-US"/>
              </w:rPr>
            </m:ctrlPr>
          </m:sSubPr>
          <m:e>
            <m:r>
              <w:rPr>
                <w:rFonts w:ascii="Cambria Math" w:hAnsi="Cambria Math"/>
                <w:sz w:val="22"/>
              </w:rPr>
              <m:t>β</m:t>
            </m:r>
          </m:e>
          <m:sub>
            <m:r>
              <w:rPr>
                <w:rFonts w:ascii="Cambria Math" w:hAnsi="Cambria Math"/>
                <w:sz w:val="22"/>
              </w:rPr>
              <m:t>0</m:t>
            </m:r>
          </m:sub>
        </m:sSub>
        <m:r>
          <w:rPr>
            <w:rFonts w:ascii="Cambria Math" w:hAnsi="Cambria Math"/>
            <w:sz w:val="22"/>
          </w:rPr>
          <m:t>+</m:t>
        </m:r>
        <m:sSub>
          <m:sSubPr>
            <m:ctrlPr>
              <w:rPr>
                <w:rFonts w:ascii="Cambria Math" w:hAnsi="Cambria Math"/>
                <w:sz w:val="22"/>
                <w:lang w:eastAsia="en-US"/>
              </w:rPr>
            </m:ctrlPr>
          </m:sSubPr>
          <m:e>
            <m:r>
              <w:rPr>
                <w:rFonts w:ascii="Cambria Math" w:hAnsi="Cambria Math"/>
                <w:sz w:val="22"/>
              </w:rPr>
              <m:t>β</m:t>
            </m:r>
          </m:e>
          <m:sub>
            <m:r>
              <w:rPr>
                <w:rFonts w:ascii="Cambria Math" w:hAnsi="Cambria Math"/>
                <w:sz w:val="22"/>
              </w:rPr>
              <m:t>1</m:t>
            </m:r>
          </m:sub>
        </m:sSub>
        <m:r>
          <w:rPr>
            <w:rFonts w:ascii="Cambria Math" w:hAnsi="Cambria Math"/>
            <w:sz w:val="22"/>
          </w:rPr>
          <m:t>tim</m:t>
        </m:r>
        <m:sSub>
          <m:sSubPr>
            <m:ctrlPr>
              <w:rPr>
                <w:rFonts w:ascii="Cambria Math" w:hAnsi="Cambria Math"/>
                <w:sz w:val="22"/>
                <w:lang w:eastAsia="en-US"/>
              </w:rPr>
            </m:ctrlPr>
          </m:sSubPr>
          <m:e>
            <m:r>
              <w:rPr>
                <w:rFonts w:ascii="Cambria Math" w:hAnsi="Cambria Math"/>
                <w:sz w:val="22"/>
              </w:rPr>
              <m:t>e</m:t>
            </m:r>
          </m:e>
          <m:sub>
            <m:r>
              <w:rPr>
                <w:rFonts w:ascii="Cambria Math" w:hAnsi="Cambria Math"/>
                <w:sz w:val="22"/>
              </w:rPr>
              <m:t>ij</m:t>
            </m:r>
          </m:sub>
        </m:sSub>
        <m:r>
          <w:rPr>
            <w:rFonts w:ascii="Cambria Math" w:hAnsi="Cambria Math"/>
            <w:sz w:val="22"/>
          </w:rPr>
          <m:t>+</m:t>
        </m:r>
        <m:sSub>
          <m:sSubPr>
            <m:ctrlPr>
              <w:rPr>
                <w:rFonts w:ascii="Cambria Math" w:hAnsi="Cambria Math"/>
                <w:sz w:val="22"/>
                <w:lang w:eastAsia="en-US"/>
              </w:rPr>
            </m:ctrlPr>
          </m:sSubPr>
          <m:e>
            <m:r>
              <w:rPr>
                <w:rFonts w:ascii="Cambria Math" w:hAnsi="Cambria Math"/>
                <w:sz w:val="22"/>
              </w:rPr>
              <m:t>β</m:t>
            </m:r>
          </m:e>
          <m:sub>
            <m:r>
              <w:rPr>
                <w:rFonts w:ascii="Cambria Math" w:hAnsi="Cambria Math"/>
                <w:sz w:val="22"/>
              </w:rPr>
              <m:t>2</m:t>
            </m:r>
          </m:sub>
        </m:sSub>
        <m:r>
          <w:rPr>
            <w:rFonts w:ascii="Cambria Math" w:hAnsi="Cambria Math"/>
            <w:sz w:val="22"/>
          </w:rPr>
          <m:t>treatmen</m:t>
        </m:r>
        <m:sSub>
          <m:sSubPr>
            <m:ctrlPr>
              <w:rPr>
                <w:rFonts w:ascii="Cambria Math" w:hAnsi="Cambria Math"/>
                <w:sz w:val="22"/>
                <w:lang w:eastAsia="en-US"/>
              </w:rPr>
            </m:ctrlPr>
          </m:sSubPr>
          <m:e>
            <m:r>
              <w:rPr>
                <w:rFonts w:ascii="Cambria Math" w:hAnsi="Cambria Math"/>
                <w:sz w:val="22"/>
              </w:rPr>
              <m:t>t</m:t>
            </m:r>
          </m:e>
          <m:sub>
            <m:r>
              <w:rPr>
                <w:rFonts w:ascii="Cambria Math" w:hAnsi="Cambria Math"/>
                <w:sz w:val="22"/>
              </w:rPr>
              <m:t>ij</m:t>
            </m:r>
          </m:sub>
        </m:sSub>
        <m:r>
          <w:rPr>
            <w:rFonts w:ascii="Cambria Math" w:hAnsi="Cambria Math"/>
            <w:sz w:val="22"/>
          </w:rPr>
          <m:t>+</m:t>
        </m:r>
        <m:sSub>
          <m:sSubPr>
            <m:ctrlPr>
              <w:rPr>
                <w:rFonts w:ascii="Cambria Math" w:hAnsi="Cambria Math"/>
                <w:sz w:val="22"/>
                <w:lang w:eastAsia="en-US"/>
              </w:rPr>
            </m:ctrlPr>
          </m:sSubPr>
          <m:e>
            <m:r>
              <w:rPr>
                <w:rFonts w:ascii="Cambria Math" w:hAnsi="Cambria Math"/>
                <w:sz w:val="22"/>
              </w:rPr>
              <m:t>β</m:t>
            </m:r>
          </m:e>
          <m:sub>
            <m:r>
              <w:rPr>
                <w:rFonts w:ascii="Cambria Math" w:hAnsi="Cambria Math"/>
                <w:sz w:val="22"/>
              </w:rPr>
              <m:t>3</m:t>
            </m:r>
          </m:sub>
        </m:sSub>
        <m:r>
          <w:rPr>
            <w:rFonts w:ascii="Cambria Math" w:hAnsi="Cambria Math"/>
            <w:sz w:val="22"/>
          </w:rPr>
          <m:t>treatmen</m:t>
        </m:r>
        <m:sSub>
          <m:sSubPr>
            <m:ctrlPr>
              <w:rPr>
                <w:rFonts w:ascii="Cambria Math" w:hAnsi="Cambria Math"/>
                <w:sz w:val="22"/>
                <w:lang w:eastAsia="en-US"/>
              </w:rPr>
            </m:ctrlPr>
          </m:sSubPr>
          <m:e>
            <m:r>
              <w:rPr>
                <w:rFonts w:ascii="Cambria Math" w:hAnsi="Cambria Math"/>
                <w:sz w:val="22"/>
              </w:rPr>
              <m:t>t</m:t>
            </m:r>
          </m:e>
          <m:sub>
            <m:r>
              <w:rPr>
                <w:rFonts w:ascii="Cambria Math" w:hAnsi="Cambria Math"/>
                <w:sz w:val="22"/>
              </w:rPr>
              <m:t>ij</m:t>
            </m:r>
          </m:sub>
        </m:sSub>
        <m:r>
          <w:rPr>
            <w:rFonts w:ascii="Cambria Math" w:hAnsi="Cambria Math"/>
            <w:sz w:val="22"/>
          </w:rPr>
          <m:t>*tim</m:t>
        </m:r>
        <m:sSub>
          <m:sSubPr>
            <m:ctrlPr>
              <w:rPr>
                <w:rFonts w:ascii="Cambria Math" w:hAnsi="Cambria Math"/>
                <w:sz w:val="22"/>
                <w:lang w:eastAsia="en-US"/>
              </w:rPr>
            </m:ctrlPr>
          </m:sSubPr>
          <m:e>
            <m:r>
              <w:rPr>
                <w:rFonts w:ascii="Cambria Math" w:hAnsi="Cambria Math"/>
                <w:sz w:val="22"/>
              </w:rPr>
              <m:t>e</m:t>
            </m:r>
          </m:e>
          <m:sub>
            <m:r>
              <w:rPr>
                <w:rFonts w:ascii="Cambria Math" w:hAnsi="Cambria Math"/>
                <w:sz w:val="22"/>
              </w:rPr>
              <m:t>ij</m:t>
            </m:r>
          </m:sub>
        </m:sSub>
        <m:r>
          <w:rPr>
            <w:rFonts w:ascii="Cambria Math" w:hAnsi="Cambria Math"/>
            <w:sz w:val="22"/>
          </w:rPr>
          <m:t>+</m:t>
        </m:r>
        <m:sSub>
          <m:sSubPr>
            <m:ctrlPr>
              <w:rPr>
                <w:rFonts w:ascii="Cambria Math" w:hAnsi="Cambria Math"/>
                <w:sz w:val="22"/>
                <w:lang w:eastAsia="en-US"/>
              </w:rPr>
            </m:ctrlPr>
          </m:sSubPr>
          <m:e>
            <m:r>
              <w:rPr>
                <w:rFonts w:ascii="Cambria Math" w:hAnsi="Cambria Math"/>
                <w:sz w:val="22"/>
              </w:rPr>
              <m:t>β</m:t>
            </m:r>
          </m:e>
          <m:sub>
            <m:r>
              <w:rPr>
                <w:rFonts w:ascii="Cambria Math" w:hAnsi="Cambria Math"/>
                <w:sz w:val="22"/>
              </w:rPr>
              <m:t>4</m:t>
            </m:r>
          </m:sub>
        </m:sSub>
        <m:r>
          <w:rPr>
            <w:rFonts w:ascii="Cambria Math" w:hAnsi="Cambria Math"/>
            <w:sz w:val="22"/>
          </w:rPr>
          <m:t>ND0</m:t>
        </m:r>
      </m:oMath>
      <w:r w:rsidRPr="0064456E">
        <w:rPr>
          <w:sz w:val="22"/>
        </w:rPr>
        <w:t>.</w:t>
      </w:r>
    </w:p>
    <w:p w14:paraId="12D74A6B" w14:textId="28F19FE7" w:rsidR="00F13E78" w:rsidRPr="00F13E78" w:rsidRDefault="00F13E78" w:rsidP="00F13E78">
      <w:pPr>
        <w:pStyle w:val="BodyText"/>
      </w:pPr>
      <w:r w:rsidRPr="00F13E78">
        <w:rPr>
          <w:b/>
          <w:bCs/>
        </w:rPr>
        <w:t>Table 4</w:t>
      </w:r>
      <w:r>
        <w:t xml:space="preserve"> shows results of Model 3. </w:t>
      </w:r>
      <w:r w:rsidR="00684E97">
        <w:t xml:space="preserve">According to model results, we can find that the ratio of drinks consumed changes between ND30 and ND60 for group in Treatment 2 versus Treatment 1 is significant with value equals to 0.6884 and the ratio of drinks consumed changes between ND30 and ND60 for group in Treatment 3 versus Treatment 1 is not significant with value equals to 1.0048. </w:t>
      </w:r>
      <w:proofErr w:type="gramStart"/>
      <w:r w:rsidR="00684E97">
        <w:t>So</w:t>
      </w:r>
      <w:proofErr w:type="gramEnd"/>
      <w:r w:rsidR="00684E97">
        <w:t xml:space="preserve"> the pattern of change in the number of drinks consumed between the Treatment 1 </w:t>
      </w:r>
      <w:r w:rsidR="00684E97">
        <w:lastRenderedPageBreak/>
        <w:t>group and Treatment 2 group is difference and the same between the Treatment 1 group and Treatment 3 group.</w:t>
      </w:r>
    </w:p>
    <w:p w14:paraId="41A36808" w14:textId="5C4717E7" w:rsidR="004977CD" w:rsidRDefault="004977CD" w:rsidP="004977CD">
      <w:pPr>
        <w:pStyle w:val="ListParagraph"/>
        <w:numPr>
          <w:ilvl w:val="0"/>
          <w:numId w:val="3"/>
        </w:numPr>
        <w:rPr>
          <w:b/>
          <w:bCs/>
          <w:szCs w:val="24"/>
        </w:rPr>
      </w:pPr>
      <w:r>
        <w:rPr>
          <w:b/>
          <w:bCs/>
          <w:szCs w:val="24"/>
        </w:rPr>
        <w:t>Influence of gender on alcohol consumption and treatment effects</w:t>
      </w:r>
    </w:p>
    <w:p w14:paraId="2E6CE8B6" w14:textId="3477647D" w:rsidR="008712A1" w:rsidRDefault="008712A1" w:rsidP="008712A1">
      <w:pPr>
        <w:rPr>
          <w:szCs w:val="24"/>
        </w:rPr>
      </w:pPr>
      <w:r>
        <w:rPr>
          <w:szCs w:val="24"/>
        </w:rPr>
        <w:t xml:space="preserve">Alcohol-use disorders are among the most disabling disease categories for </w:t>
      </w:r>
      <w:r w:rsidR="00634406">
        <w:rPr>
          <w:szCs w:val="24"/>
        </w:rPr>
        <w:t xml:space="preserve">the global burden of disease especially for men, so we want to know influence of gender on alcohol consumption and treatment effects. </w:t>
      </w:r>
    </w:p>
    <w:p w14:paraId="6356EE1E" w14:textId="10ACFD00" w:rsidR="00634406" w:rsidRDefault="00634406" w:rsidP="00634406">
      <w:pPr>
        <w:pStyle w:val="ListParagraph"/>
        <w:numPr>
          <w:ilvl w:val="1"/>
          <w:numId w:val="2"/>
        </w:numPr>
        <w:rPr>
          <w:szCs w:val="24"/>
        </w:rPr>
      </w:pPr>
      <w:r w:rsidRPr="00634406">
        <w:rPr>
          <w:szCs w:val="24"/>
        </w:rPr>
        <w:t>Influence of gender on baseline alcohol consumption</w:t>
      </w:r>
    </w:p>
    <w:p w14:paraId="0B2B00D0" w14:textId="77777777" w:rsidR="00B75059" w:rsidRDefault="00634406" w:rsidP="00634406">
      <w:pPr>
        <w:rPr>
          <w:szCs w:val="24"/>
        </w:rPr>
      </w:pPr>
      <w:r>
        <w:rPr>
          <w:szCs w:val="24"/>
        </w:rPr>
        <w:t xml:space="preserve">First, we </w:t>
      </w:r>
      <w:r w:rsidR="00653B03">
        <w:rPr>
          <w:szCs w:val="24"/>
        </w:rPr>
        <w:t xml:space="preserve">need to find out whether different gender have different influence on baseline alcohol consumption. I fitted a generalized linear model with dependent variable “ND0” and </w:t>
      </w:r>
      <w:r w:rsidR="00B75059">
        <w:rPr>
          <w:szCs w:val="24"/>
        </w:rPr>
        <w:t>predictor “Gender”</w:t>
      </w:r>
      <w:r w:rsidR="00653B03">
        <w:rPr>
          <w:szCs w:val="24"/>
        </w:rPr>
        <w:t>.</w:t>
      </w:r>
    </w:p>
    <w:p w14:paraId="57729E33" w14:textId="7FEE6E22" w:rsidR="00634406" w:rsidRDefault="00B75059" w:rsidP="00B75059">
      <w:pPr>
        <w:jc w:val="center"/>
      </w:pPr>
      <w:r>
        <w:t xml:space="preserve">Model4: </w:t>
      </w:r>
      <m:oMath>
        <m:r>
          <w:rPr>
            <w:rFonts w:ascii="Cambria Math" w:hAnsi="Cambria Math"/>
          </w:rPr>
          <m:t>logE[ND0]=</m:t>
        </m:r>
        <m:sSub>
          <m:sSubPr>
            <m:ctrlPr>
              <w:rPr>
                <w:rFonts w:ascii="Cambria Math" w:hAnsi="Cambria Math" w:cs="Times New Roman"/>
                <w:szCs w:val="24"/>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imes New Roman"/>
                <w:szCs w:val="24"/>
              </w:rPr>
            </m:ctrlPr>
          </m:sSubPr>
          <m:e>
            <m:r>
              <w:rPr>
                <w:rFonts w:ascii="Cambria Math" w:hAnsi="Cambria Math"/>
              </w:rPr>
              <m:t>β</m:t>
            </m:r>
          </m:e>
          <m:sub>
            <m:r>
              <w:rPr>
                <w:rFonts w:ascii="Cambria Math" w:hAnsi="Cambria Math"/>
              </w:rPr>
              <m:t>1</m:t>
            </m:r>
          </m:sub>
        </m:sSub>
        <m:r>
          <w:rPr>
            <w:rFonts w:ascii="Cambria Math" w:hAnsi="Cambria Math"/>
          </w:rPr>
          <m:t>Gender</m:t>
        </m:r>
      </m:oMath>
    </w:p>
    <w:p w14:paraId="79041C7D" w14:textId="03F3EAE2" w:rsidR="00B75059" w:rsidRPr="00B75059" w:rsidRDefault="00B75059" w:rsidP="00B75059">
      <w:pPr>
        <w:pStyle w:val="BodyText"/>
        <w:rPr>
          <w:lang w:eastAsia="en-US"/>
        </w:rPr>
      </w:pPr>
      <w:r w:rsidRPr="00B75059">
        <w:rPr>
          <w:b/>
          <w:bCs/>
        </w:rPr>
        <w:t>Table 5</w:t>
      </w:r>
      <w:r>
        <w:t xml:space="preserve"> shows results of Model 4. According to above results, we can find that confidence interval of Gender across 0, which means coefficient of Gender is significant with value equals to 0.9975. This means on average, total number drinks male consumed in baseline 30-day period is 2.712 times compared to that of female</w:t>
      </w:r>
      <w:r w:rsidR="006D0BD2">
        <w:t xml:space="preserve"> on aver</w:t>
      </w:r>
      <w:r w:rsidR="00CF3B4B">
        <w:t>ag</w:t>
      </w:r>
      <w:r w:rsidR="006D0BD2">
        <w:t>e</w:t>
      </w:r>
      <w:r>
        <w:t>.</w:t>
      </w:r>
    </w:p>
    <w:p w14:paraId="7E96184C" w14:textId="5B20489F" w:rsidR="00634406" w:rsidRDefault="00634406" w:rsidP="00634406">
      <w:pPr>
        <w:pStyle w:val="ListParagraph"/>
        <w:numPr>
          <w:ilvl w:val="1"/>
          <w:numId w:val="2"/>
        </w:numPr>
        <w:rPr>
          <w:szCs w:val="24"/>
        </w:rPr>
      </w:pPr>
      <w:r>
        <w:rPr>
          <w:szCs w:val="24"/>
        </w:rPr>
        <w:t>Influence of gender on treatment effects</w:t>
      </w:r>
    </w:p>
    <w:p w14:paraId="008EE6FD" w14:textId="7BE66B7C" w:rsidR="00B75059" w:rsidRDefault="00B75059" w:rsidP="00B75059">
      <w:r>
        <w:rPr>
          <w:szCs w:val="24"/>
        </w:rPr>
        <w:t>We are also curious about whether gender influence treatment effects of three interventions, thus I fitted a</w:t>
      </w:r>
      <w:r w:rsidRPr="00B75059">
        <w:t xml:space="preserve"> </w:t>
      </w:r>
      <w:r>
        <w:t>g</w:t>
      </w:r>
      <w:r w:rsidRPr="00670424">
        <w:t xml:space="preserve">eneralized </w:t>
      </w:r>
      <w:r>
        <w:t>e</w:t>
      </w:r>
      <w:r w:rsidRPr="00670424">
        <w:t xml:space="preserve">stimating </w:t>
      </w:r>
      <w:r>
        <w:t>e</w:t>
      </w:r>
      <w:r w:rsidRPr="00670424">
        <w:t xml:space="preserve">quation </w:t>
      </w:r>
      <w:proofErr w:type="gramStart"/>
      <w:r>
        <w:t>model</w:t>
      </w:r>
      <w:r w:rsidRPr="00670424">
        <w:t>(</w:t>
      </w:r>
      <w:proofErr w:type="gramEnd"/>
      <w:r w:rsidRPr="00670424">
        <w:t>GEE)</w:t>
      </w:r>
      <w:r>
        <w:t xml:space="preserve"> with interaction between treatment and gender.</w:t>
      </w:r>
      <w:r w:rsidR="006D0BD2" w:rsidRPr="006D0BD2">
        <w:t xml:space="preserve"> </w:t>
      </w:r>
      <w:r w:rsidR="006D0BD2">
        <w:t xml:space="preserve">Let </w:t>
      </w:r>
      <m:oMath>
        <m:sSub>
          <m:sSubPr>
            <m:ctrlPr>
              <w:rPr>
                <w:rFonts w:ascii="Cambria Math" w:hAnsi="Cambria Math"/>
                <w:szCs w:val="24"/>
                <w:lang w:eastAsia="en-US"/>
              </w:rPr>
            </m:ctrlPr>
          </m:sSubPr>
          <m:e>
            <m:r>
              <w:rPr>
                <w:rFonts w:ascii="Cambria Math" w:hAnsi="Cambria Math"/>
              </w:rPr>
              <m:t>y</m:t>
            </m:r>
          </m:e>
          <m:sub>
            <m:r>
              <w:rPr>
                <w:rFonts w:ascii="Cambria Math" w:hAnsi="Cambria Math"/>
              </w:rPr>
              <m:t>ij</m:t>
            </m:r>
          </m:sub>
        </m:sSub>
      </m:oMath>
      <w:r w:rsidR="006D0BD2">
        <w:t xml:space="preserve"> be the numbers of drinks consumed in the 30 days for subject </w:t>
      </w:r>
      <m:oMath>
        <m:r>
          <w:rPr>
            <w:rFonts w:ascii="Cambria Math" w:hAnsi="Cambria Math"/>
          </w:rPr>
          <m:t>i=1,2,...,314</m:t>
        </m:r>
      </m:oMath>
      <w:r w:rsidR="006D0BD2">
        <w:t xml:space="preserve"> at visit </w:t>
      </w:r>
      <m:oMath>
        <m:r>
          <w:rPr>
            <w:rFonts w:ascii="Cambria Math" w:hAnsi="Cambria Math"/>
          </w:rPr>
          <m:t>j=0,1,2</m:t>
        </m:r>
      </m:oMath>
      <w:r w:rsidR="006D0BD2">
        <w:t xml:space="preserve">. Assume </w:t>
      </w:r>
      <m:oMath>
        <m:sSub>
          <m:sSubPr>
            <m:ctrlPr>
              <w:rPr>
                <w:rFonts w:ascii="Cambria Math" w:hAnsi="Cambria Math"/>
                <w:szCs w:val="24"/>
                <w:lang w:eastAsia="en-US"/>
              </w:rPr>
            </m:ctrlPr>
          </m:sSubPr>
          <m:e>
            <m:r>
              <w:rPr>
                <w:rFonts w:ascii="Cambria Math" w:hAnsi="Cambria Math"/>
              </w:rPr>
              <m:t>y</m:t>
            </m:r>
          </m:e>
          <m:sub>
            <m:r>
              <w:rPr>
                <w:rFonts w:ascii="Cambria Math" w:hAnsi="Cambria Math"/>
              </w:rPr>
              <m:t>ij</m:t>
            </m:r>
          </m:sub>
        </m:sSub>
      </m:oMath>
      <w:r w:rsidR="006D0BD2">
        <w:t xml:space="preserve"> follows poisson distribution.</w:t>
      </w:r>
    </w:p>
    <w:p w14:paraId="464FEF43" w14:textId="31501C9C" w:rsidR="00B75059" w:rsidRDefault="00B75059" w:rsidP="00B75059">
      <w:pPr>
        <w:pStyle w:val="BodyText"/>
      </w:pPr>
      <w:r>
        <w:lastRenderedPageBreak/>
        <w:t xml:space="preserve">Model 5 : </w:t>
      </w:r>
      <m:oMath>
        <m:r>
          <w:rPr>
            <w:rFonts w:ascii="Cambria Math" w:hAnsi="Cambria Math"/>
          </w:rPr>
          <m:t>log(</m:t>
        </m:r>
        <m:sSub>
          <m:sSubPr>
            <m:ctrlPr>
              <w:rPr>
                <w:rFonts w:ascii="Cambria Math" w:hAnsi="Cambria Math"/>
                <w:szCs w:val="24"/>
                <w:lang w:eastAsia="en-US"/>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szCs w:val="24"/>
                <w:lang w:eastAsia="en-U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szCs w:val="24"/>
                <w:lang w:eastAsia="en-US"/>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szCs w:val="24"/>
                <w:lang w:eastAsia="en-US"/>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szCs w:val="24"/>
                <w:lang w:eastAsia="en-US"/>
              </w:rPr>
            </m:ctrlPr>
          </m:sSubPr>
          <m:e>
            <m:r>
              <w:rPr>
                <w:rFonts w:ascii="Cambria Math" w:hAnsi="Cambria Math"/>
              </w:rPr>
              <m:t>β</m:t>
            </m:r>
          </m:e>
          <m:sub>
            <m:r>
              <w:rPr>
                <w:rFonts w:ascii="Cambria Math" w:hAnsi="Cambria Math"/>
              </w:rPr>
              <m:t>2</m:t>
            </m:r>
          </m:sub>
        </m:sSub>
        <m:r>
          <w:rPr>
            <w:rFonts w:ascii="Cambria Math" w:hAnsi="Cambria Math"/>
          </w:rPr>
          <m:t>treatmen</m:t>
        </m:r>
        <m:sSub>
          <m:sSubPr>
            <m:ctrlPr>
              <w:rPr>
                <w:rFonts w:ascii="Cambria Math" w:hAnsi="Cambria Math"/>
                <w:szCs w:val="24"/>
                <w:lang w:eastAsia="en-US"/>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szCs w:val="24"/>
                <w:lang w:eastAsia="en-US"/>
              </w:rPr>
            </m:ctrlPr>
          </m:sSubPr>
          <m:e>
            <m:r>
              <w:rPr>
                <w:rFonts w:ascii="Cambria Math" w:hAnsi="Cambria Math"/>
              </w:rPr>
              <m:t>β</m:t>
            </m:r>
          </m:e>
          <m:sub>
            <m:r>
              <w:rPr>
                <w:rFonts w:ascii="Cambria Math" w:hAnsi="Cambria Math"/>
              </w:rPr>
              <m:t>3</m:t>
            </m:r>
          </m:sub>
        </m:sSub>
        <m:r>
          <w:rPr>
            <w:rFonts w:ascii="Cambria Math" w:hAnsi="Cambria Math"/>
          </w:rPr>
          <m:t>treatmen</m:t>
        </m:r>
        <m:sSub>
          <m:sSubPr>
            <m:ctrlPr>
              <w:rPr>
                <w:rFonts w:ascii="Cambria Math" w:hAnsi="Cambria Math"/>
                <w:szCs w:val="24"/>
                <w:lang w:eastAsia="en-US"/>
              </w:rPr>
            </m:ctrlPr>
          </m:sSubPr>
          <m:e>
            <m:r>
              <w:rPr>
                <w:rFonts w:ascii="Cambria Math" w:hAnsi="Cambria Math"/>
              </w:rPr>
              <m:t>t</m:t>
            </m:r>
          </m:e>
          <m:sub>
            <m:r>
              <w:rPr>
                <w:rFonts w:ascii="Cambria Math" w:hAnsi="Cambria Math"/>
              </w:rPr>
              <m:t>ij</m:t>
            </m:r>
          </m:sub>
        </m:sSub>
        <m:r>
          <w:rPr>
            <w:rFonts w:ascii="Cambria Math" w:hAnsi="Cambria Math"/>
          </w:rPr>
          <m:t>*tim</m:t>
        </m:r>
        <m:sSub>
          <m:sSubPr>
            <m:ctrlPr>
              <w:rPr>
                <w:rFonts w:ascii="Cambria Math" w:hAnsi="Cambria Math"/>
                <w:szCs w:val="24"/>
                <w:lang w:eastAsia="en-US"/>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szCs w:val="24"/>
                <w:lang w:eastAsia="en-US"/>
              </w:rPr>
            </m:ctrlPr>
          </m:sSubPr>
          <m:e>
            <m:r>
              <w:rPr>
                <w:rFonts w:ascii="Cambria Math" w:hAnsi="Cambria Math"/>
              </w:rPr>
              <m:t>β</m:t>
            </m:r>
          </m:e>
          <m:sub>
            <m:r>
              <w:rPr>
                <w:rFonts w:ascii="Cambria Math" w:hAnsi="Cambria Math"/>
              </w:rPr>
              <m:t>4</m:t>
            </m:r>
          </m:sub>
        </m:sSub>
        <m:r>
          <w:rPr>
            <w:rFonts w:ascii="Cambria Math" w:hAnsi="Cambria Math"/>
          </w:rPr>
          <m:t>*ND0+</m:t>
        </m:r>
        <m:sSub>
          <m:sSubPr>
            <m:ctrlPr>
              <w:rPr>
                <w:rFonts w:ascii="Cambria Math" w:hAnsi="Cambria Math"/>
                <w:szCs w:val="24"/>
                <w:lang w:eastAsia="en-US"/>
              </w:rPr>
            </m:ctrlPr>
          </m:sSubPr>
          <m:e>
            <m:r>
              <w:rPr>
                <w:rFonts w:ascii="Cambria Math" w:hAnsi="Cambria Math"/>
              </w:rPr>
              <m:t>β</m:t>
            </m:r>
          </m:e>
          <m:sub>
            <m:r>
              <w:rPr>
                <w:rFonts w:ascii="Cambria Math" w:hAnsi="Cambria Math"/>
              </w:rPr>
              <m:t>5</m:t>
            </m:r>
          </m:sub>
        </m:sSub>
        <m:r>
          <w:rPr>
            <w:rFonts w:ascii="Cambria Math" w:hAnsi="Cambria Math"/>
          </w:rPr>
          <m:t>*Gender</m:t>
        </m:r>
      </m:oMath>
      <w:r>
        <w:t>.</w:t>
      </w:r>
    </w:p>
    <w:p w14:paraId="407F4007" w14:textId="37895159" w:rsidR="00B75059" w:rsidRDefault="00F0141D" w:rsidP="00B75059">
      <w:pPr>
        <w:rPr>
          <w:szCs w:val="24"/>
        </w:rPr>
      </w:pPr>
      <w:r w:rsidRPr="00F0141D">
        <w:rPr>
          <w:b/>
          <w:bCs/>
          <w:szCs w:val="24"/>
        </w:rPr>
        <w:t>Table 6</w:t>
      </w:r>
      <w:r>
        <w:rPr>
          <w:szCs w:val="24"/>
        </w:rPr>
        <w:t xml:space="preserve"> shows results of Model 5. According to results, we can find that for Treatment </w:t>
      </w:r>
      <w:proofErr w:type="gramStart"/>
      <w:r>
        <w:rPr>
          <w:szCs w:val="24"/>
        </w:rPr>
        <w:t xml:space="preserve">1,  </w:t>
      </w:r>
      <w:r w:rsidR="00600F97">
        <w:rPr>
          <w:szCs w:val="24"/>
        </w:rPr>
        <w:t>counts</w:t>
      </w:r>
      <w:proofErr w:type="gramEnd"/>
      <w:r w:rsidR="00600F97">
        <w:rPr>
          <w:szCs w:val="24"/>
        </w:rPr>
        <w:t xml:space="preserve"> ratio </w:t>
      </w:r>
      <w:r>
        <w:rPr>
          <w:szCs w:val="24"/>
        </w:rPr>
        <w:t xml:space="preserve">of </w:t>
      </w:r>
      <w:r w:rsidR="00600F97">
        <w:rPr>
          <w:szCs w:val="24"/>
        </w:rPr>
        <w:t>total drinks number</w:t>
      </w:r>
      <w:r>
        <w:rPr>
          <w:szCs w:val="24"/>
        </w:rPr>
        <w:t xml:space="preserve"> for male versus female is 1.7132</w:t>
      </w:r>
      <w:r w:rsidR="006D0BD2">
        <w:rPr>
          <w:szCs w:val="24"/>
        </w:rPr>
        <w:t xml:space="preserve"> on average</w:t>
      </w:r>
      <w:r>
        <w:rPr>
          <w:szCs w:val="24"/>
        </w:rPr>
        <w:t xml:space="preserve">, which indicates Treatment 1 has better treatment effect on female versus male. For Treatment 2, </w:t>
      </w:r>
      <w:r w:rsidR="00600F97">
        <w:rPr>
          <w:szCs w:val="24"/>
        </w:rPr>
        <w:t>counts ratio of total drinks number</w:t>
      </w:r>
      <w:r>
        <w:rPr>
          <w:szCs w:val="24"/>
        </w:rPr>
        <w:t xml:space="preserve"> for male versus female is 1.8273(1.7132*1.0666)</w:t>
      </w:r>
      <w:r w:rsidR="006D0BD2">
        <w:rPr>
          <w:szCs w:val="24"/>
        </w:rPr>
        <w:t xml:space="preserve"> on average</w:t>
      </w:r>
      <w:r>
        <w:rPr>
          <w:szCs w:val="24"/>
        </w:rPr>
        <w:t xml:space="preserve">, which indicates Treatment 2 has better treatment effect on female versus male. For Treatment 3, </w:t>
      </w:r>
      <w:r w:rsidR="00CF3B4B">
        <w:rPr>
          <w:szCs w:val="24"/>
        </w:rPr>
        <w:t xml:space="preserve">counts ratio of total drinks number </w:t>
      </w:r>
      <w:r>
        <w:rPr>
          <w:szCs w:val="24"/>
        </w:rPr>
        <w:t>for male versus female is 1.7708</w:t>
      </w:r>
      <w:r w:rsidR="006D0BD2">
        <w:rPr>
          <w:szCs w:val="24"/>
        </w:rPr>
        <w:t xml:space="preserve"> on average</w:t>
      </w:r>
      <w:r>
        <w:rPr>
          <w:szCs w:val="24"/>
        </w:rPr>
        <w:t>, which indicates Treatment 2 has better treatment effect on female versus male.</w:t>
      </w:r>
    </w:p>
    <w:p w14:paraId="6E498721" w14:textId="06215204" w:rsidR="00F0141D" w:rsidRPr="00B75059" w:rsidRDefault="00F0141D" w:rsidP="00B75059">
      <w:pPr>
        <w:rPr>
          <w:szCs w:val="24"/>
        </w:rPr>
      </w:pPr>
      <w:r>
        <w:rPr>
          <w:szCs w:val="24"/>
        </w:rPr>
        <w:t xml:space="preserve">Overall, treatment effects of three interventions have better </w:t>
      </w:r>
      <w:r w:rsidR="006D0BD2">
        <w:rPr>
          <w:szCs w:val="24"/>
        </w:rPr>
        <w:t xml:space="preserve">effect on female versus male and the treatment effect difference of Treatment 2 between female and male is the highest. </w:t>
      </w:r>
    </w:p>
    <w:p w14:paraId="10D24F9F" w14:textId="522FEFAD" w:rsidR="006D0BD2" w:rsidRDefault="00365668" w:rsidP="006D0BD2">
      <w:pPr>
        <w:pStyle w:val="ListParagraph"/>
        <w:numPr>
          <w:ilvl w:val="0"/>
          <w:numId w:val="3"/>
        </w:numPr>
        <w:rPr>
          <w:b/>
          <w:bCs/>
          <w:szCs w:val="24"/>
        </w:rPr>
      </w:pPr>
      <w:r>
        <w:rPr>
          <w:b/>
          <w:bCs/>
          <w:szCs w:val="24"/>
        </w:rPr>
        <w:t>E</w:t>
      </w:r>
      <w:r w:rsidRPr="00365668">
        <w:rPr>
          <w:b/>
          <w:bCs/>
          <w:szCs w:val="24"/>
        </w:rPr>
        <w:t>ffects of three types of interventions after treatments have stopped</w:t>
      </w:r>
    </w:p>
    <w:p w14:paraId="140AB27E" w14:textId="267232D9" w:rsidR="009F3716" w:rsidRPr="009F3716" w:rsidRDefault="009F3716" w:rsidP="009F3716">
      <w:pPr>
        <w:rPr>
          <w:szCs w:val="24"/>
        </w:rPr>
      </w:pPr>
      <w:r>
        <w:rPr>
          <w:szCs w:val="24"/>
        </w:rPr>
        <w:t>4.1 Treatment effects on relapse</w:t>
      </w:r>
    </w:p>
    <w:p w14:paraId="634CD873" w14:textId="3406E196" w:rsidR="006D0BD2" w:rsidRDefault="006D0BD2" w:rsidP="006D0BD2">
      <w:pPr>
        <w:rPr>
          <w:szCs w:val="24"/>
        </w:rPr>
      </w:pPr>
      <w:r>
        <w:rPr>
          <w:szCs w:val="24"/>
        </w:rPr>
        <w:t xml:space="preserve">I fitted a generalized linear model to find out the influence of three types of interventions on </w:t>
      </w:r>
      <w:r w:rsidR="00600F97">
        <w:rPr>
          <w:szCs w:val="24"/>
        </w:rPr>
        <w:t>relapsing into alcohol dependence adjusted for “Gender” and “ND0”. Assume “Relapse” follows binomial distribution.</w:t>
      </w:r>
    </w:p>
    <w:p w14:paraId="7F2878E3" w14:textId="2D39AF6C" w:rsidR="00600F97" w:rsidRDefault="00600F97" w:rsidP="00600F97">
      <w:pPr>
        <w:pStyle w:val="FirstParagraph"/>
        <w:jc w:val="center"/>
      </w:pPr>
      <w:r>
        <w:t xml:space="preserve">Model 6 : </w:t>
      </w:r>
      <m:oMath>
        <m:r>
          <w:rPr>
            <w:rFonts w:ascii="Cambria Math" w:hAnsi="Cambria Math"/>
          </w:rPr>
          <m:t>log</m:t>
        </m:r>
        <m:f>
          <m:fPr>
            <m:ctrlPr>
              <w:rPr>
                <w:rFonts w:ascii="Cambria Math" w:hAnsi="Cambria Math"/>
              </w:rPr>
            </m:ctrlPr>
          </m:fPr>
          <m:num>
            <m:r>
              <w:rPr>
                <w:rFonts w:ascii="Cambria Math" w:hAnsi="Cambria Math"/>
              </w:rPr>
              <m:t>P(Relapse=1)</m:t>
            </m:r>
          </m:num>
          <m:den>
            <m:r>
              <w:rPr>
                <w:rFonts w:ascii="Cambria Math" w:hAnsi="Cambria Math"/>
              </w:rPr>
              <m:t>P(Relapse=0)</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ND0</m:t>
        </m:r>
      </m:oMath>
    </w:p>
    <w:p w14:paraId="0E766B1A" w14:textId="0615866D" w:rsidR="00600F97" w:rsidRDefault="00CF3B4B" w:rsidP="00CF3B4B">
      <w:pPr>
        <w:pStyle w:val="BodyText"/>
      </w:pPr>
      <w:r w:rsidRPr="00CF3B4B">
        <w:rPr>
          <w:b/>
          <w:bCs/>
        </w:rPr>
        <w:t>Table 7</w:t>
      </w:r>
      <w:r>
        <w:t xml:space="preserve"> shows results of Model 6. As 95% confidence interval of coefficients for treatment 2 and treatment 3 do not across 0, we can conclude that treatment effects difference between treatment 2, treatment 3 versus treatment 1 are significant. The odd ratio of relapse between </w:t>
      </w:r>
      <w:r>
        <w:lastRenderedPageBreak/>
        <w:t>people in treatment 2 versus people in treatment 1 is 0.1826 and the odd ratio of relapse between people in treatment 2 versus people in treatment 1 is 0.0345. In general, treatment 3 have best treatment effect on preventing relapse and treatment effect of treatment 2 is better than treatment 1.</w:t>
      </w:r>
    </w:p>
    <w:p w14:paraId="02D2C40A" w14:textId="1DF7929D" w:rsidR="009F3716" w:rsidRDefault="009F3716" w:rsidP="009F3716">
      <w:pPr>
        <w:pStyle w:val="BodyText"/>
        <w:numPr>
          <w:ilvl w:val="1"/>
          <w:numId w:val="3"/>
        </w:numPr>
      </w:pPr>
      <w:r>
        <w:t>Beneficial effects after treatment stopped</w:t>
      </w:r>
    </w:p>
    <w:p w14:paraId="6EC323F9" w14:textId="2BB51CEF" w:rsidR="00CF3B4B" w:rsidRDefault="00CF3B4B" w:rsidP="003F0A64">
      <w:r>
        <w:t xml:space="preserve">According to </w:t>
      </w:r>
      <w:r w:rsidRPr="00CF3B4B">
        <w:rPr>
          <w:b/>
          <w:bCs/>
        </w:rPr>
        <w:t>Figure 1</w:t>
      </w:r>
      <w:r>
        <w:t xml:space="preserve">, we can find that for people in Treatment group 1 and 3, the treatment effects decrease in the 30 days between the </w:t>
      </w:r>
      <m:oMath>
        <m:sSup>
          <m:sSupPr>
            <m:ctrlPr>
              <w:rPr>
                <w:rFonts w:ascii="Cambria Math" w:hAnsi="Cambria Math"/>
                <w:szCs w:val="24"/>
                <w:lang w:eastAsia="en-US"/>
              </w:rPr>
            </m:ctrlPr>
          </m:sSupPr>
          <m:e>
            <m:r>
              <w:rPr>
                <w:rFonts w:ascii="Cambria Math" w:hAnsi="Cambria Math"/>
              </w:rPr>
              <m:t>30</m:t>
            </m:r>
          </m:e>
          <m:sup>
            <m:r>
              <w:rPr>
                <w:rFonts w:ascii="Cambria Math" w:hAnsi="Cambria Math"/>
              </w:rPr>
              <m:t>th</m:t>
            </m:r>
          </m:sup>
        </m:sSup>
      </m:oMath>
      <w:r>
        <w:t xml:space="preserve"> and </w:t>
      </w:r>
      <m:oMath>
        <m:sSup>
          <m:sSupPr>
            <m:ctrlPr>
              <w:rPr>
                <w:rFonts w:ascii="Cambria Math" w:hAnsi="Cambria Math"/>
                <w:szCs w:val="24"/>
                <w:lang w:eastAsia="en-US"/>
              </w:rPr>
            </m:ctrlPr>
          </m:sSupPr>
          <m:e>
            <m:r>
              <w:rPr>
                <w:rFonts w:ascii="Cambria Math" w:hAnsi="Cambria Math"/>
              </w:rPr>
              <m:t>60</m:t>
            </m:r>
          </m:e>
          <m:sup>
            <m:r>
              <w:rPr>
                <w:rFonts w:ascii="Cambria Math" w:hAnsi="Cambria Math"/>
              </w:rPr>
              <m:t>th</m:t>
            </m:r>
          </m:sup>
        </m:sSup>
      </m:oMath>
      <w:r>
        <w:t xml:space="preserve"> day follow-up. Total numbers of drinks consumed in the 30 days following randomization are </w:t>
      </w:r>
      <w:proofErr w:type="gramStart"/>
      <w:r>
        <w:t>similar to</w:t>
      </w:r>
      <w:proofErr w:type="gramEnd"/>
      <w:r>
        <w:t xml:space="preserve"> total numbers of drinks consumed in the 30 days between the </w:t>
      </w:r>
      <m:oMath>
        <m:sSup>
          <m:sSupPr>
            <m:ctrlPr>
              <w:rPr>
                <w:rFonts w:ascii="Cambria Math" w:hAnsi="Cambria Math"/>
                <w:szCs w:val="24"/>
                <w:lang w:eastAsia="en-US"/>
              </w:rPr>
            </m:ctrlPr>
          </m:sSupPr>
          <m:e>
            <m:r>
              <w:rPr>
                <w:rFonts w:ascii="Cambria Math" w:hAnsi="Cambria Math"/>
              </w:rPr>
              <m:t>30</m:t>
            </m:r>
          </m:e>
          <m:sup>
            <m:r>
              <w:rPr>
                <w:rFonts w:ascii="Cambria Math" w:hAnsi="Cambria Math"/>
              </w:rPr>
              <m:t>th</m:t>
            </m:r>
          </m:sup>
        </m:sSup>
      </m:oMath>
      <w:r>
        <w:t xml:space="preserve"> and </w:t>
      </w:r>
      <m:oMath>
        <m:sSup>
          <m:sSupPr>
            <m:ctrlPr>
              <w:rPr>
                <w:rFonts w:ascii="Cambria Math" w:hAnsi="Cambria Math"/>
                <w:szCs w:val="24"/>
                <w:lang w:eastAsia="en-US"/>
              </w:rPr>
            </m:ctrlPr>
          </m:sSupPr>
          <m:e>
            <m:r>
              <w:rPr>
                <w:rFonts w:ascii="Cambria Math" w:hAnsi="Cambria Math"/>
              </w:rPr>
              <m:t>60</m:t>
            </m:r>
          </m:e>
          <m:sup>
            <m:r>
              <w:rPr>
                <w:rFonts w:ascii="Cambria Math" w:hAnsi="Cambria Math"/>
              </w:rPr>
              <m:t>th</m:t>
            </m:r>
          </m:sup>
        </m:sSup>
      </m:oMath>
      <w:r>
        <w:t xml:space="preserve"> day follow-up. While total numbers of drinks consumed in 30 days keep decrease for people in Treatment group2. According to these trends, treatment 2 might be beneficial once the treatment has stopped.</w:t>
      </w:r>
    </w:p>
    <w:p w14:paraId="47A4631F" w14:textId="77777777" w:rsidR="00275355" w:rsidRDefault="000B0722" w:rsidP="003F0A64">
      <w:r>
        <w:t>As “Relapse” were recorded 6 months after the end of treatment. The probability of relapsing also indicates whether three interventions have beneficial effect after treatments have stopped.</w:t>
      </w:r>
    </w:p>
    <w:p w14:paraId="5E23CA86" w14:textId="6C28C05A" w:rsidR="000B0722" w:rsidRDefault="00275355" w:rsidP="003F0A64">
      <w:r w:rsidRPr="00275355">
        <w:rPr>
          <w:b/>
          <w:bCs/>
        </w:rPr>
        <w:t>Figure 2</w:t>
      </w:r>
      <w:r>
        <w:t xml:space="preserve"> shows </w:t>
      </w:r>
      <w:r w:rsidR="001F1824">
        <w:t>three boxplots for probabilities of relapse in different treatment groups. According to this plot, we can find that probabilities of relapse in Treatment 1 are higher than Treatment 2 and higher than Treatment 1. Most subjects in Treatment 2 and Treatment 3 groups have relapse probabilities less than 0.5. This means Treatment 2 and Treatment 3 have beneficial effect after treatments have stopped.</w:t>
      </w:r>
    </w:p>
    <w:p w14:paraId="49AA9A5C" w14:textId="6DECCA02" w:rsidR="009B28E2" w:rsidRDefault="009B28E2" w:rsidP="003F0A64">
      <w:pPr>
        <w:pStyle w:val="Heading1"/>
      </w:pPr>
      <w:r>
        <w:t>Discussion</w:t>
      </w:r>
    </w:p>
    <w:p w14:paraId="3EAE112D" w14:textId="6A9048AC" w:rsidR="001F1824" w:rsidRDefault="001F1824" w:rsidP="003F0A64">
      <w:r>
        <w:t xml:space="preserve">According to analysis above, we can find that for the 30 days following randomization, the effect of Treatment 3 is better than that of Treatment 2 and the effect of Treatment 2 is better than </w:t>
      </w:r>
      <w:r>
        <w:lastRenderedPageBreak/>
        <w:t>that of Treatment 1.</w:t>
      </w:r>
      <w:r w:rsidRPr="001F1824">
        <w:t xml:space="preserve"> </w:t>
      </w:r>
      <w:r>
        <w:t xml:space="preserve">For the </w:t>
      </w:r>
      <w:r>
        <w:rPr>
          <w:szCs w:val="24"/>
        </w:rPr>
        <w:t>30 days between the 30</w:t>
      </w:r>
      <w:r>
        <w:rPr>
          <w:szCs w:val="24"/>
          <w:vertAlign w:val="superscript"/>
        </w:rPr>
        <w:t>th</w:t>
      </w:r>
      <w:r>
        <w:rPr>
          <w:szCs w:val="24"/>
        </w:rPr>
        <w:t xml:space="preserve"> and 60</w:t>
      </w:r>
      <w:r>
        <w:rPr>
          <w:szCs w:val="24"/>
          <w:vertAlign w:val="superscript"/>
        </w:rPr>
        <w:t>th</w:t>
      </w:r>
      <w:r>
        <w:rPr>
          <w:szCs w:val="24"/>
        </w:rPr>
        <w:t xml:space="preserve"> day follow-up</w:t>
      </w:r>
      <w:r>
        <w:t>, the effect of Treatment 2 is slightly better than that of Treatment 3 and the effect of Treatment 3 is better than that of Treatment 1. Changes patterns of total drinks number in Treatment 1 and Treatment 3 group is similar and both are different from Treatment 2 group.</w:t>
      </w:r>
      <w:r w:rsidR="00816779">
        <w:t xml:space="preserve"> </w:t>
      </w:r>
      <w:r>
        <w:t>On baseline</w:t>
      </w:r>
      <w:r w:rsidR="00816779">
        <w:t>, female has less alcohol consumption and have better treatment effect for three types of intervention. Comparing to Treatment 2 and Treatment 1, Treatment 3 have more beneficial effect after treatments have stopped.</w:t>
      </w:r>
    </w:p>
    <w:p w14:paraId="0A1BB8D5" w14:textId="77777777" w:rsidR="00816779" w:rsidRDefault="00816779" w:rsidP="003F0A64">
      <w:r>
        <w:t xml:space="preserve">However, there are some limitations in this study. First, as there are only two follow-up 30-day period, we can only know the roughly trend of effects for three interventions. Even though Treatment 2 doesn’t perform well at first, it shows a continuous effect on decreasing total drinks number and might be the best treatment in long term. Due to limited data, we cannot verify it. </w:t>
      </w:r>
    </w:p>
    <w:p w14:paraId="300EA9FC" w14:textId="287327AD" w:rsidR="001F1824" w:rsidRPr="008864C5" w:rsidRDefault="005E4B37" w:rsidP="003F0A64">
      <w:r>
        <w:t>For further study, we can collect more follow-up data to find out effects of different treatments. We can also collect more covariates information to have a more accurate association relationship of treatment and alcohol consumptions.</w:t>
      </w:r>
      <w:r w:rsidR="003F0A64">
        <w:t xml:space="preserve"> Based on current data, data from other sources can also be included to do further analysis. </w:t>
      </w:r>
    </w:p>
    <w:p w14:paraId="30F0A453" w14:textId="77777777" w:rsidR="0007791E" w:rsidRDefault="0007791E" w:rsidP="003F0A64">
      <w:pPr>
        <w:pStyle w:val="Heading1"/>
      </w:pPr>
      <w:bookmarkStart w:id="6" w:name="OLE_LINK5"/>
      <w:bookmarkStart w:id="7" w:name="OLE_LINK6"/>
      <w:r>
        <w:t>Reference</w:t>
      </w:r>
    </w:p>
    <w:bookmarkEnd w:id="6"/>
    <w:bookmarkEnd w:id="7"/>
    <w:p w14:paraId="1ADCC305" w14:textId="77777777" w:rsidR="0007791E" w:rsidRPr="0007791E" w:rsidRDefault="0007791E" w:rsidP="0007791E">
      <w:r>
        <w:t>[</w:t>
      </w:r>
      <w:proofErr w:type="gramStart"/>
      <w:r>
        <w:t>1]</w:t>
      </w:r>
      <w:r w:rsidRPr="0007791E">
        <w:t>Rehm</w:t>
      </w:r>
      <w:proofErr w:type="gramEnd"/>
      <w:r w:rsidRPr="0007791E">
        <w:t xml:space="preserve"> J. The risks associated with alcohol use and alcoholism. Alcohol Res Health. 2011;34(2):135–143.</w:t>
      </w:r>
    </w:p>
    <w:p w14:paraId="712A12ED" w14:textId="42E9DAB3" w:rsidR="003F0A64" w:rsidRDefault="003F0A64" w:rsidP="003F0A64">
      <w:pPr>
        <w:pStyle w:val="Heading1"/>
      </w:pPr>
      <w:r>
        <w:t>Tables and plots</w:t>
      </w:r>
    </w:p>
    <w:p w14:paraId="32AD90D0" w14:textId="77777777" w:rsidR="003F0A64" w:rsidRDefault="003F0A64" w:rsidP="003F0A6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Summary of variables stratified by treatments</w:t>
      </w:r>
    </w:p>
    <w:tbl>
      <w:tblPr>
        <w:tblStyle w:val="TableGrid"/>
        <w:tblW w:w="419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7E0" w:firstRow="1" w:lastRow="1" w:firstColumn="1" w:lastColumn="1" w:noHBand="1" w:noVBand="1"/>
      </w:tblPr>
      <w:tblGrid>
        <w:gridCol w:w="2308"/>
        <w:gridCol w:w="1849"/>
        <w:gridCol w:w="1849"/>
        <w:gridCol w:w="1849"/>
      </w:tblGrid>
      <w:tr w:rsidR="003F0A64" w14:paraId="5D23E7FB" w14:textId="77777777" w:rsidTr="007C734C">
        <w:trPr>
          <w:trHeight w:val="260"/>
          <w:jc w:val="center"/>
        </w:trPr>
        <w:tc>
          <w:tcPr>
            <w:tcW w:w="0" w:type="auto"/>
            <w:gridSpan w:val="4"/>
            <w:tcBorders>
              <w:top w:val="single" w:sz="4" w:space="0" w:color="auto"/>
            </w:tcBorders>
          </w:tcPr>
          <w:p w14:paraId="47993F73" w14:textId="77777777" w:rsidR="003F0A64" w:rsidRDefault="003F0A64" w:rsidP="007C734C">
            <w:pPr>
              <w:pStyle w:val="Compact"/>
              <w:jc w:val="center"/>
            </w:pPr>
            <w:r>
              <w:t>Stratified by Treatment</w:t>
            </w:r>
          </w:p>
        </w:tc>
      </w:tr>
      <w:tr w:rsidR="003F0A64" w14:paraId="52F8E1CA" w14:textId="77777777" w:rsidTr="007C734C">
        <w:trPr>
          <w:trHeight w:val="341"/>
          <w:jc w:val="center"/>
        </w:trPr>
        <w:tc>
          <w:tcPr>
            <w:tcW w:w="0" w:type="auto"/>
            <w:tcBorders>
              <w:bottom w:val="single" w:sz="4" w:space="0" w:color="auto"/>
            </w:tcBorders>
          </w:tcPr>
          <w:p w14:paraId="458773C8" w14:textId="77777777" w:rsidR="003F0A64" w:rsidRDefault="003F0A64" w:rsidP="007C734C"/>
        </w:tc>
        <w:tc>
          <w:tcPr>
            <w:tcW w:w="0" w:type="auto"/>
            <w:tcBorders>
              <w:top w:val="single" w:sz="4" w:space="0" w:color="auto"/>
              <w:bottom w:val="single" w:sz="4" w:space="0" w:color="auto"/>
            </w:tcBorders>
          </w:tcPr>
          <w:p w14:paraId="78719333" w14:textId="77777777" w:rsidR="003F0A64" w:rsidRDefault="003F0A64" w:rsidP="007C734C">
            <w:pPr>
              <w:pStyle w:val="Compact"/>
            </w:pPr>
            <w:r>
              <w:t>Treatment1</w:t>
            </w:r>
          </w:p>
        </w:tc>
        <w:tc>
          <w:tcPr>
            <w:tcW w:w="0" w:type="auto"/>
            <w:tcBorders>
              <w:top w:val="single" w:sz="4" w:space="0" w:color="auto"/>
              <w:bottom w:val="single" w:sz="4" w:space="0" w:color="auto"/>
            </w:tcBorders>
          </w:tcPr>
          <w:p w14:paraId="3828F9AC" w14:textId="77777777" w:rsidR="003F0A64" w:rsidRDefault="003F0A64" w:rsidP="007C734C">
            <w:pPr>
              <w:pStyle w:val="Compact"/>
            </w:pPr>
            <w:r>
              <w:t>Treatment2</w:t>
            </w:r>
          </w:p>
        </w:tc>
        <w:tc>
          <w:tcPr>
            <w:tcW w:w="0" w:type="auto"/>
            <w:tcBorders>
              <w:top w:val="single" w:sz="4" w:space="0" w:color="auto"/>
              <w:bottom w:val="single" w:sz="4" w:space="0" w:color="auto"/>
            </w:tcBorders>
          </w:tcPr>
          <w:p w14:paraId="16FF15ED" w14:textId="77777777" w:rsidR="003F0A64" w:rsidRDefault="003F0A64" w:rsidP="007C734C">
            <w:pPr>
              <w:pStyle w:val="Compact"/>
            </w:pPr>
            <w:r>
              <w:t>Treatment3</w:t>
            </w:r>
          </w:p>
        </w:tc>
      </w:tr>
      <w:tr w:rsidR="003F0A64" w14:paraId="3CD48E96" w14:textId="77777777" w:rsidTr="007C734C">
        <w:trPr>
          <w:trHeight w:val="132"/>
          <w:jc w:val="center"/>
        </w:trPr>
        <w:tc>
          <w:tcPr>
            <w:tcW w:w="0" w:type="auto"/>
            <w:tcBorders>
              <w:top w:val="single" w:sz="4" w:space="0" w:color="auto"/>
            </w:tcBorders>
          </w:tcPr>
          <w:p w14:paraId="30FAE12B" w14:textId="77777777" w:rsidR="003F0A64" w:rsidRDefault="003F0A64" w:rsidP="007C734C">
            <w:pPr>
              <w:pStyle w:val="Compact"/>
            </w:pPr>
            <w:r>
              <w:t>n</w:t>
            </w:r>
          </w:p>
        </w:tc>
        <w:tc>
          <w:tcPr>
            <w:tcW w:w="0" w:type="auto"/>
            <w:tcBorders>
              <w:top w:val="single" w:sz="4" w:space="0" w:color="auto"/>
            </w:tcBorders>
          </w:tcPr>
          <w:p w14:paraId="239CFFD8" w14:textId="77777777" w:rsidR="003F0A64" w:rsidRDefault="003F0A64" w:rsidP="007C734C">
            <w:pPr>
              <w:pStyle w:val="Compact"/>
            </w:pPr>
            <w:r>
              <w:t>106</w:t>
            </w:r>
          </w:p>
        </w:tc>
        <w:tc>
          <w:tcPr>
            <w:tcW w:w="0" w:type="auto"/>
            <w:tcBorders>
              <w:top w:val="single" w:sz="4" w:space="0" w:color="auto"/>
            </w:tcBorders>
          </w:tcPr>
          <w:p w14:paraId="590FD769" w14:textId="77777777" w:rsidR="003F0A64" w:rsidRDefault="003F0A64" w:rsidP="007C734C">
            <w:pPr>
              <w:pStyle w:val="Compact"/>
            </w:pPr>
            <w:r>
              <w:t>107</w:t>
            </w:r>
          </w:p>
        </w:tc>
        <w:tc>
          <w:tcPr>
            <w:tcW w:w="0" w:type="auto"/>
            <w:tcBorders>
              <w:top w:val="single" w:sz="4" w:space="0" w:color="auto"/>
            </w:tcBorders>
          </w:tcPr>
          <w:p w14:paraId="4FC7BE18" w14:textId="77777777" w:rsidR="003F0A64" w:rsidRDefault="003F0A64" w:rsidP="007C734C">
            <w:pPr>
              <w:pStyle w:val="Compact"/>
            </w:pPr>
            <w:r>
              <w:t>101</w:t>
            </w:r>
          </w:p>
        </w:tc>
      </w:tr>
      <w:tr w:rsidR="003F0A64" w14:paraId="1C3B6BE3" w14:textId="77777777" w:rsidTr="007C734C">
        <w:trPr>
          <w:trHeight w:val="243"/>
          <w:jc w:val="center"/>
        </w:trPr>
        <w:tc>
          <w:tcPr>
            <w:tcW w:w="0" w:type="auto"/>
          </w:tcPr>
          <w:p w14:paraId="416EF199" w14:textId="77777777" w:rsidR="003F0A64" w:rsidRDefault="003F0A64" w:rsidP="007C734C">
            <w:pPr>
              <w:pStyle w:val="Compact"/>
            </w:pPr>
            <w:r>
              <w:t>Gender = Male (%)</w:t>
            </w:r>
          </w:p>
        </w:tc>
        <w:tc>
          <w:tcPr>
            <w:tcW w:w="0" w:type="auto"/>
          </w:tcPr>
          <w:p w14:paraId="58376401" w14:textId="77777777" w:rsidR="003F0A64" w:rsidRDefault="003F0A64" w:rsidP="007C734C">
            <w:pPr>
              <w:pStyle w:val="Compact"/>
            </w:pPr>
            <w:r>
              <w:t>52 (49.1)</w:t>
            </w:r>
          </w:p>
        </w:tc>
        <w:tc>
          <w:tcPr>
            <w:tcW w:w="0" w:type="auto"/>
          </w:tcPr>
          <w:p w14:paraId="60046A01" w14:textId="77777777" w:rsidR="003F0A64" w:rsidRDefault="003F0A64" w:rsidP="007C734C">
            <w:pPr>
              <w:pStyle w:val="Compact"/>
            </w:pPr>
            <w:r>
              <w:t>62 (57.9)</w:t>
            </w:r>
          </w:p>
        </w:tc>
        <w:tc>
          <w:tcPr>
            <w:tcW w:w="0" w:type="auto"/>
          </w:tcPr>
          <w:p w14:paraId="24639AEE" w14:textId="77777777" w:rsidR="003F0A64" w:rsidRDefault="003F0A64" w:rsidP="007C734C">
            <w:pPr>
              <w:pStyle w:val="Compact"/>
            </w:pPr>
            <w:r>
              <w:t>57 (56.4)</w:t>
            </w:r>
          </w:p>
        </w:tc>
      </w:tr>
      <w:tr w:rsidR="003F0A64" w14:paraId="5118B24B" w14:textId="77777777" w:rsidTr="007C734C">
        <w:trPr>
          <w:trHeight w:val="238"/>
          <w:jc w:val="center"/>
        </w:trPr>
        <w:tc>
          <w:tcPr>
            <w:tcW w:w="0" w:type="auto"/>
          </w:tcPr>
          <w:p w14:paraId="2EA6AB9F" w14:textId="77777777" w:rsidR="003F0A64" w:rsidRDefault="003F0A64" w:rsidP="007C734C">
            <w:pPr>
              <w:pStyle w:val="Compact"/>
            </w:pPr>
            <w:r>
              <w:t>ND0 (mean (SD))</w:t>
            </w:r>
          </w:p>
        </w:tc>
        <w:tc>
          <w:tcPr>
            <w:tcW w:w="0" w:type="auto"/>
          </w:tcPr>
          <w:p w14:paraId="4B12C987" w14:textId="77777777" w:rsidR="003F0A64" w:rsidRDefault="003F0A64" w:rsidP="007C734C">
            <w:pPr>
              <w:pStyle w:val="Compact"/>
            </w:pPr>
            <w:r>
              <w:t>125.71 (62.70)</w:t>
            </w:r>
          </w:p>
        </w:tc>
        <w:tc>
          <w:tcPr>
            <w:tcW w:w="0" w:type="auto"/>
          </w:tcPr>
          <w:p w14:paraId="2ACA26EC" w14:textId="77777777" w:rsidR="003F0A64" w:rsidRDefault="003F0A64" w:rsidP="007C734C">
            <w:pPr>
              <w:pStyle w:val="Compact"/>
            </w:pPr>
            <w:r>
              <w:t>134.08 (59.11)</w:t>
            </w:r>
          </w:p>
        </w:tc>
        <w:tc>
          <w:tcPr>
            <w:tcW w:w="0" w:type="auto"/>
          </w:tcPr>
          <w:p w14:paraId="2843EE46" w14:textId="77777777" w:rsidR="003F0A64" w:rsidRDefault="003F0A64" w:rsidP="007C734C">
            <w:pPr>
              <w:pStyle w:val="Compact"/>
            </w:pPr>
            <w:r>
              <w:t>131.02 (59.62)</w:t>
            </w:r>
          </w:p>
        </w:tc>
      </w:tr>
      <w:tr w:rsidR="003F0A64" w14:paraId="62289390" w14:textId="77777777" w:rsidTr="007C734C">
        <w:trPr>
          <w:trHeight w:val="136"/>
          <w:jc w:val="center"/>
        </w:trPr>
        <w:tc>
          <w:tcPr>
            <w:tcW w:w="0" w:type="auto"/>
          </w:tcPr>
          <w:p w14:paraId="3B7CD04C" w14:textId="77777777" w:rsidR="003F0A64" w:rsidRDefault="003F0A64" w:rsidP="007C734C">
            <w:pPr>
              <w:pStyle w:val="Compact"/>
            </w:pPr>
            <w:r>
              <w:t>ND30 (mean (SD))</w:t>
            </w:r>
          </w:p>
        </w:tc>
        <w:tc>
          <w:tcPr>
            <w:tcW w:w="0" w:type="auto"/>
          </w:tcPr>
          <w:p w14:paraId="3E4FC069" w14:textId="77777777" w:rsidR="003F0A64" w:rsidRDefault="003F0A64" w:rsidP="007C734C">
            <w:pPr>
              <w:pStyle w:val="Compact"/>
            </w:pPr>
            <w:r>
              <w:t>84.78 (42.16)</w:t>
            </w:r>
          </w:p>
        </w:tc>
        <w:tc>
          <w:tcPr>
            <w:tcW w:w="0" w:type="auto"/>
          </w:tcPr>
          <w:p w14:paraId="14955CF4" w14:textId="77777777" w:rsidR="003F0A64" w:rsidRDefault="003F0A64" w:rsidP="007C734C">
            <w:pPr>
              <w:pStyle w:val="Compact"/>
            </w:pPr>
            <w:r>
              <w:t>89.27 (41.83)</w:t>
            </w:r>
          </w:p>
        </w:tc>
        <w:tc>
          <w:tcPr>
            <w:tcW w:w="0" w:type="auto"/>
          </w:tcPr>
          <w:p w14:paraId="411BCA31" w14:textId="77777777" w:rsidR="003F0A64" w:rsidRDefault="003F0A64" w:rsidP="007C734C">
            <w:pPr>
              <w:pStyle w:val="Compact"/>
            </w:pPr>
            <w:r>
              <w:t>59.69 (27.63)</w:t>
            </w:r>
          </w:p>
        </w:tc>
      </w:tr>
      <w:tr w:rsidR="003F0A64" w14:paraId="3E6AD0ED" w14:textId="77777777" w:rsidTr="007C734C">
        <w:trPr>
          <w:trHeight w:val="132"/>
          <w:jc w:val="center"/>
        </w:trPr>
        <w:tc>
          <w:tcPr>
            <w:tcW w:w="0" w:type="auto"/>
          </w:tcPr>
          <w:p w14:paraId="49B1EC61" w14:textId="77777777" w:rsidR="003F0A64" w:rsidRDefault="003F0A64" w:rsidP="007C734C">
            <w:pPr>
              <w:pStyle w:val="Compact"/>
            </w:pPr>
            <w:r>
              <w:t>ND60 (mean (SD))</w:t>
            </w:r>
          </w:p>
        </w:tc>
        <w:tc>
          <w:tcPr>
            <w:tcW w:w="0" w:type="auto"/>
          </w:tcPr>
          <w:p w14:paraId="49C622C0" w14:textId="77777777" w:rsidR="003F0A64" w:rsidRDefault="003F0A64" w:rsidP="007C734C">
            <w:pPr>
              <w:pStyle w:val="Compact"/>
            </w:pPr>
            <w:r>
              <w:t>83.13 (42.26)</w:t>
            </w:r>
          </w:p>
        </w:tc>
        <w:tc>
          <w:tcPr>
            <w:tcW w:w="0" w:type="auto"/>
          </w:tcPr>
          <w:p w14:paraId="512FED9A" w14:textId="77777777" w:rsidR="003F0A64" w:rsidRDefault="003F0A64" w:rsidP="007C734C">
            <w:pPr>
              <w:pStyle w:val="Compact"/>
            </w:pPr>
            <w:r>
              <w:t>60.26 (28.39)</w:t>
            </w:r>
          </w:p>
        </w:tc>
        <w:tc>
          <w:tcPr>
            <w:tcW w:w="0" w:type="auto"/>
          </w:tcPr>
          <w:p w14:paraId="36BAFC38" w14:textId="77777777" w:rsidR="003F0A64" w:rsidRDefault="003F0A64" w:rsidP="007C734C">
            <w:pPr>
              <w:pStyle w:val="Compact"/>
            </w:pPr>
            <w:r>
              <w:t>58.81 (28.46)</w:t>
            </w:r>
          </w:p>
        </w:tc>
      </w:tr>
      <w:tr w:rsidR="003F0A64" w14:paraId="61992C2B" w14:textId="77777777" w:rsidTr="007C734C">
        <w:trPr>
          <w:trHeight w:val="132"/>
          <w:jc w:val="center"/>
        </w:trPr>
        <w:tc>
          <w:tcPr>
            <w:tcW w:w="0" w:type="auto"/>
            <w:tcBorders>
              <w:bottom w:val="single" w:sz="4" w:space="0" w:color="auto"/>
            </w:tcBorders>
          </w:tcPr>
          <w:p w14:paraId="22DDF31C" w14:textId="77777777" w:rsidR="003F0A64" w:rsidRDefault="003F0A64" w:rsidP="007C734C">
            <w:pPr>
              <w:pStyle w:val="Compact"/>
            </w:pPr>
            <w:r>
              <w:t>Relapse = 1 (%)</w:t>
            </w:r>
          </w:p>
        </w:tc>
        <w:tc>
          <w:tcPr>
            <w:tcW w:w="0" w:type="auto"/>
            <w:tcBorders>
              <w:bottom w:val="single" w:sz="4" w:space="0" w:color="auto"/>
            </w:tcBorders>
          </w:tcPr>
          <w:p w14:paraId="37C438F0" w14:textId="77777777" w:rsidR="003F0A64" w:rsidRDefault="003F0A64" w:rsidP="007C734C">
            <w:pPr>
              <w:pStyle w:val="Compact"/>
            </w:pPr>
            <w:r>
              <w:t>87 (82.1)</w:t>
            </w:r>
          </w:p>
        </w:tc>
        <w:tc>
          <w:tcPr>
            <w:tcW w:w="0" w:type="auto"/>
            <w:tcBorders>
              <w:bottom w:val="single" w:sz="4" w:space="0" w:color="auto"/>
            </w:tcBorders>
          </w:tcPr>
          <w:p w14:paraId="7DC918C3" w14:textId="77777777" w:rsidR="003F0A64" w:rsidRDefault="003F0A64" w:rsidP="007C734C">
            <w:pPr>
              <w:pStyle w:val="Compact"/>
            </w:pPr>
            <w:r>
              <w:t>49 (45.8)</w:t>
            </w:r>
          </w:p>
        </w:tc>
        <w:tc>
          <w:tcPr>
            <w:tcW w:w="0" w:type="auto"/>
            <w:tcBorders>
              <w:bottom w:val="single" w:sz="4" w:space="0" w:color="auto"/>
            </w:tcBorders>
          </w:tcPr>
          <w:p w14:paraId="26C7FF48" w14:textId="77777777" w:rsidR="003F0A64" w:rsidRDefault="003F0A64" w:rsidP="007C734C">
            <w:pPr>
              <w:pStyle w:val="Compact"/>
            </w:pPr>
            <w:r>
              <w:t>14 (13.9)</w:t>
            </w:r>
          </w:p>
        </w:tc>
      </w:tr>
    </w:tbl>
    <w:p w14:paraId="75D13A51" w14:textId="77777777" w:rsidR="003F0A64" w:rsidRDefault="003F0A64" w:rsidP="003F0A64">
      <w:pPr>
        <w:pStyle w:val="Caption"/>
        <w:keepNext/>
      </w:pPr>
    </w:p>
    <w:p w14:paraId="1629DC82" w14:textId="29066804" w:rsidR="003F0A64" w:rsidRDefault="003F0A64" w:rsidP="003F0A64">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Results of Model 1</w:t>
      </w:r>
    </w:p>
    <w:tbl>
      <w:tblPr>
        <w:tblStyle w:val="Table"/>
        <w:tblW w:w="5000" w:type="pct"/>
        <w:tblLook w:val="04A0" w:firstRow="1" w:lastRow="0" w:firstColumn="1" w:lastColumn="0" w:noHBand="0" w:noVBand="1"/>
      </w:tblPr>
      <w:tblGrid>
        <w:gridCol w:w="2062"/>
        <w:gridCol w:w="1536"/>
        <w:gridCol w:w="1445"/>
        <w:gridCol w:w="1563"/>
        <w:gridCol w:w="1377"/>
        <w:gridCol w:w="1377"/>
      </w:tblGrid>
      <w:tr w:rsidR="003F0A64" w14:paraId="6DA3C7CF" w14:textId="77777777" w:rsidTr="007C734C">
        <w:tc>
          <w:tcPr>
            <w:tcW w:w="0" w:type="auto"/>
            <w:tcBorders>
              <w:top w:val="single" w:sz="4" w:space="0" w:color="auto"/>
              <w:bottom w:val="single" w:sz="4" w:space="0" w:color="auto"/>
            </w:tcBorders>
          </w:tcPr>
          <w:p w14:paraId="5EFD2C29" w14:textId="77777777" w:rsidR="003F0A64" w:rsidRDefault="003F0A64" w:rsidP="007C734C">
            <w:pPr>
              <w:pStyle w:val="Compact"/>
            </w:pPr>
          </w:p>
        </w:tc>
        <w:tc>
          <w:tcPr>
            <w:tcW w:w="0" w:type="auto"/>
            <w:tcBorders>
              <w:top w:val="single" w:sz="4" w:space="0" w:color="auto"/>
              <w:bottom w:val="single" w:sz="4" w:space="0" w:color="auto"/>
            </w:tcBorders>
            <w:hideMark/>
          </w:tcPr>
          <w:p w14:paraId="3193FEEE" w14:textId="77777777" w:rsidR="003F0A64" w:rsidRDefault="003F0A64" w:rsidP="007C734C">
            <w:pPr>
              <w:pStyle w:val="Compact"/>
              <w:jc w:val="center"/>
            </w:pPr>
            <w:r>
              <w:t>Estimate</w:t>
            </w:r>
          </w:p>
        </w:tc>
        <w:tc>
          <w:tcPr>
            <w:tcW w:w="0" w:type="auto"/>
            <w:tcBorders>
              <w:top w:val="single" w:sz="4" w:space="0" w:color="auto"/>
              <w:bottom w:val="single" w:sz="4" w:space="0" w:color="auto"/>
            </w:tcBorders>
            <w:hideMark/>
          </w:tcPr>
          <w:p w14:paraId="15A7C8BB" w14:textId="77777777" w:rsidR="003F0A64" w:rsidRDefault="003F0A64" w:rsidP="007C734C">
            <w:pPr>
              <w:pStyle w:val="Compact"/>
              <w:jc w:val="center"/>
            </w:pPr>
            <w:proofErr w:type="spellStart"/>
            <w:r>
              <w:t>Exp.Est</w:t>
            </w:r>
            <w:proofErr w:type="spellEnd"/>
          </w:p>
        </w:tc>
        <w:tc>
          <w:tcPr>
            <w:tcW w:w="0" w:type="auto"/>
            <w:tcBorders>
              <w:top w:val="single" w:sz="4" w:space="0" w:color="auto"/>
              <w:bottom w:val="single" w:sz="4" w:space="0" w:color="auto"/>
            </w:tcBorders>
            <w:hideMark/>
          </w:tcPr>
          <w:p w14:paraId="60CC605C" w14:textId="77777777" w:rsidR="003F0A64" w:rsidRDefault="003F0A64" w:rsidP="007C734C">
            <w:pPr>
              <w:pStyle w:val="Compact"/>
              <w:jc w:val="center"/>
            </w:pPr>
            <w:proofErr w:type="spellStart"/>
            <w:r>
              <w:t>Std.Error</w:t>
            </w:r>
            <w:proofErr w:type="spellEnd"/>
          </w:p>
        </w:tc>
        <w:tc>
          <w:tcPr>
            <w:tcW w:w="0" w:type="auto"/>
            <w:tcBorders>
              <w:top w:val="single" w:sz="4" w:space="0" w:color="auto"/>
              <w:bottom w:val="single" w:sz="4" w:space="0" w:color="auto"/>
            </w:tcBorders>
            <w:hideMark/>
          </w:tcPr>
          <w:p w14:paraId="1B998CA1" w14:textId="77777777" w:rsidR="003F0A64" w:rsidRDefault="003F0A64" w:rsidP="007C734C">
            <w:pPr>
              <w:pStyle w:val="Compact"/>
              <w:jc w:val="center"/>
            </w:pPr>
            <w:r>
              <w:t>CIL</w:t>
            </w:r>
          </w:p>
        </w:tc>
        <w:tc>
          <w:tcPr>
            <w:tcW w:w="0" w:type="auto"/>
            <w:tcBorders>
              <w:top w:val="single" w:sz="4" w:space="0" w:color="auto"/>
              <w:bottom w:val="single" w:sz="4" w:space="0" w:color="auto"/>
            </w:tcBorders>
            <w:hideMark/>
          </w:tcPr>
          <w:p w14:paraId="6CB4C2D8" w14:textId="77777777" w:rsidR="003F0A64" w:rsidRDefault="003F0A64" w:rsidP="007C734C">
            <w:pPr>
              <w:pStyle w:val="Compact"/>
              <w:jc w:val="center"/>
            </w:pPr>
            <w:r>
              <w:t>CIU</w:t>
            </w:r>
          </w:p>
        </w:tc>
      </w:tr>
      <w:tr w:rsidR="003F0A64" w14:paraId="169F6F71" w14:textId="77777777" w:rsidTr="007C734C">
        <w:tc>
          <w:tcPr>
            <w:tcW w:w="0" w:type="auto"/>
            <w:tcBorders>
              <w:top w:val="single" w:sz="4" w:space="0" w:color="auto"/>
            </w:tcBorders>
            <w:hideMark/>
          </w:tcPr>
          <w:p w14:paraId="3F354D68" w14:textId="77777777" w:rsidR="003F0A64" w:rsidRDefault="003F0A64" w:rsidP="007C734C">
            <w:pPr>
              <w:pStyle w:val="Compact"/>
            </w:pPr>
            <w:r>
              <w:t>(Intercept)</w:t>
            </w:r>
          </w:p>
        </w:tc>
        <w:tc>
          <w:tcPr>
            <w:tcW w:w="0" w:type="auto"/>
            <w:tcBorders>
              <w:top w:val="single" w:sz="4" w:space="0" w:color="auto"/>
            </w:tcBorders>
            <w:hideMark/>
          </w:tcPr>
          <w:p w14:paraId="7AE75656" w14:textId="77777777" w:rsidR="003F0A64" w:rsidRDefault="003F0A64" w:rsidP="007C734C">
            <w:pPr>
              <w:pStyle w:val="Compact"/>
              <w:jc w:val="center"/>
            </w:pPr>
            <w:r>
              <w:t>3.5442</w:t>
            </w:r>
          </w:p>
        </w:tc>
        <w:tc>
          <w:tcPr>
            <w:tcW w:w="0" w:type="auto"/>
            <w:tcBorders>
              <w:top w:val="single" w:sz="4" w:space="0" w:color="auto"/>
            </w:tcBorders>
            <w:hideMark/>
          </w:tcPr>
          <w:p w14:paraId="17E80CFE" w14:textId="77777777" w:rsidR="003F0A64" w:rsidRDefault="003F0A64" w:rsidP="007C734C">
            <w:pPr>
              <w:pStyle w:val="Compact"/>
              <w:jc w:val="center"/>
            </w:pPr>
            <w:r>
              <w:t>34.6123</w:t>
            </w:r>
          </w:p>
        </w:tc>
        <w:tc>
          <w:tcPr>
            <w:tcW w:w="0" w:type="auto"/>
            <w:tcBorders>
              <w:top w:val="single" w:sz="4" w:space="0" w:color="auto"/>
            </w:tcBorders>
            <w:hideMark/>
          </w:tcPr>
          <w:p w14:paraId="3C47278B" w14:textId="77777777" w:rsidR="003F0A64" w:rsidRDefault="003F0A64" w:rsidP="007C734C">
            <w:pPr>
              <w:pStyle w:val="Compact"/>
              <w:jc w:val="center"/>
            </w:pPr>
            <w:r>
              <w:t>0.0267</w:t>
            </w:r>
          </w:p>
        </w:tc>
        <w:tc>
          <w:tcPr>
            <w:tcW w:w="0" w:type="auto"/>
            <w:tcBorders>
              <w:top w:val="single" w:sz="4" w:space="0" w:color="auto"/>
            </w:tcBorders>
            <w:hideMark/>
          </w:tcPr>
          <w:p w14:paraId="10C4CCFA" w14:textId="77777777" w:rsidR="003F0A64" w:rsidRDefault="003F0A64" w:rsidP="007C734C">
            <w:pPr>
              <w:pStyle w:val="Compact"/>
              <w:jc w:val="center"/>
            </w:pPr>
            <w:r>
              <w:t>3.4919</w:t>
            </w:r>
          </w:p>
        </w:tc>
        <w:tc>
          <w:tcPr>
            <w:tcW w:w="0" w:type="auto"/>
            <w:tcBorders>
              <w:top w:val="single" w:sz="4" w:space="0" w:color="auto"/>
            </w:tcBorders>
            <w:hideMark/>
          </w:tcPr>
          <w:p w14:paraId="68F83F40" w14:textId="77777777" w:rsidR="003F0A64" w:rsidRDefault="003F0A64" w:rsidP="007C734C">
            <w:pPr>
              <w:pStyle w:val="Compact"/>
              <w:jc w:val="center"/>
            </w:pPr>
            <w:r>
              <w:t>3.5964</w:t>
            </w:r>
          </w:p>
        </w:tc>
      </w:tr>
      <w:tr w:rsidR="003F0A64" w14:paraId="2D1067F7" w14:textId="77777777" w:rsidTr="007C734C">
        <w:tc>
          <w:tcPr>
            <w:tcW w:w="0" w:type="auto"/>
            <w:hideMark/>
          </w:tcPr>
          <w:p w14:paraId="7D82F8D2" w14:textId="77777777" w:rsidR="003F0A64" w:rsidRDefault="003F0A64" w:rsidP="007C734C">
            <w:pPr>
              <w:pStyle w:val="Compact"/>
            </w:pPr>
            <w:r>
              <w:t>Treatment2</w:t>
            </w:r>
          </w:p>
        </w:tc>
        <w:tc>
          <w:tcPr>
            <w:tcW w:w="0" w:type="auto"/>
            <w:hideMark/>
          </w:tcPr>
          <w:p w14:paraId="24908807" w14:textId="77777777" w:rsidR="003F0A64" w:rsidRDefault="003F0A64" w:rsidP="007C734C">
            <w:pPr>
              <w:pStyle w:val="Compact"/>
              <w:jc w:val="center"/>
            </w:pPr>
            <w:r>
              <w:t>-0.0156</w:t>
            </w:r>
          </w:p>
        </w:tc>
        <w:tc>
          <w:tcPr>
            <w:tcW w:w="0" w:type="auto"/>
            <w:hideMark/>
          </w:tcPr>
          <w:p w14:paraId="57BF3235" w14:textId="77777777" w:rsidR="003F0A64" w:rsidRDefault="003F0A64" w:rsidP="007C734C">
            <w:pPr>
              <w:pStyle w:val="Compact"/>
              <w:jc w:val="center"/>
            </w:pPr>
            <w:r>
              <w:t>0.9845</w:t>
            </w:r>
          </w:p>
        </w:tc>
        <w:tc>
          <w:tcPr>
            <w:tcW w:w="0" w:type="auto"/>
            <w:hideMark/>
          </w:tcPr>
          <w:p w14:paraId="5CF607E6" w14:textId="77777777" w:rsidR="003F0A64" w:rsidRDefault="003F0A64" w:rsidP="007C734C">
            <w:pPr>
              <w:pStyle w:val="Compact"/>
              <w:jc w:val="center"/>
            </w:pPr>
            <w:r>
              <w:t>0.0148</w:t>
            </w:r>
          </w:p>
        </w:tc>
        <w:tc>
          <w:tcPr>
            <w:tcW w:w="0" w:type="auto"/>
            <w:hideMark/>
          </w:tcPr>
          <w:p w14:paraId="6599EAEE" w14:textId="77777777" w:rsidR="003F0A64" w:rsidRDefault="003F0A64" w:rsidP="007C734C">
            <w:pPr>
              <w:pStyle w:val="Compact"/>
              <w:jc w:val="center"/>
            </w:pPr>
            <w:r>
              <w:t>-0.0446</w:t>
            </w:r>
          </w:p>
        </w:tc>
        <w:tc>
          <w:tcPr>
            <w:tcW w:w="0" w:type="auto"/>
            <w:hideMark/>
          </w:tcPr>
          <w:p w14:paraId="5CD68746" w14:textId="77777777" w:rsidR="003F0A64" w:rsidRDefault="003F0A64" w:rsidP="007C734C">
            <w:pPr>
              <w:pStyle w:val="Compact"/>
              <w:jc w:val="center"/>
            </w:pPr>
            <w:r>
              <w:t>0.0133</w:t>
            </w:r>
          </w:p>
        </w:tc>
      </w:tr>
      <w:tr w:rsidR="003F0A64" w14:paraId="12C2DE4D" w14:textId="77777777" w:rsidTr="007C734C">
        <w:tc>
          <w:tcPr>
            <w:tcW w:w="0" w:type="auto"/>
            <w:hideMark/>
          </w:tcPr>
          <w:p w14:paraId="697138E8" w14:textId="77777777" w:rsidR="003F0A64" w:rsidRDefault="003F0A64" w:rsidP="007C734C">
            <w:pPr>
              <w:pStyle w:val="Compact"/>
            </w:pPr>
            <w:r>
              <w:t>Treatment3</w:t>
            </w:r>
          </w:p>
        </w:tc>
        <w:tc>
          <w:tcPr>
            <w:tcW w:w="0" w:type="auto"/>
            <w:hideMark/>
          </w:tcPr>
          <w:p w14:paraId="37A115BE" w14:textId="77777777" w:rsidR="003F0A64" w:rsidRDefault="003F0A64" w:rsidP="007C734C">
            <w:pPr>
              <w:pStyle w:val="Compact"/>
              <w:jc w:val="center"/>
            </w:pPr>
            <w:r>
              <w:t>-0.4000</w:t>
            </w:r>
          </w:p>
        </w:tc>
        <w:tc>
          <w:tcPr>
            <w:tcW w:w="0" w:type="auto"/>
            <w:hideMark/>
          </w:tcPr>
          <w:p w14:paraId="39CBDE5C" w14:textId="77777777" w:rsidR="003F0A64" w:rsidRDefault="003F0A64" w:rsidP="007C734C">
            <w:pPr>
              <w:pStyle w:val="Compact"/>
              <w:jc w:val="center"/>
            </w:pPr>
            <w:r>
              <w:t>0.6703</w:t>
            </w:r>
          </w:p>
        </w:tc>
        <w:tc>
          <w:tcPr>
            <w:tcW w:w="0" w:type="auto"/>
            <w:hideMark/>
          </w:tcPr>
          <w:p w14:paraId="5D1E3C12" w14:textId="77777777" w:rsidR="003F0A64" w:rsidRDefault="003F0A64" w:rsidP="007C734C">
            <w:pPr>
              <w:pStyle w:val="Compact"/>
              <w:jc w:val="center"/>
            </w:pPr>
            <w:r>
              <w:t>0.0167</w:t>
            </w:r>
          </w:p>
        </w:tc>
        <w:tc>
          <w:tcPr>
            <w:tcW w:w="0" w:type="auto"/>
            <w:hideMark/>
          </w:tcPr>
          <w:p w14:paraId="6BF377C5" w14:textId="77777777" w:rsidR="003F0A64" w:rsidRDefault="003F0A64" w:rsidP="007C734C">
            <w:pPr>
              <w:pStyle w:val="Compact"/>
              <w:jc w:val="center"/>
            </w:pPr>
            <w:r>
              <w:t>-0.4328</w:t>
            </w:r>
          </w:p>
        </w:tc>
        <w:tc>
          <w:tcPr>
            <w:tcW w:w="0" w:type="auto"/>
            <w:hideMark/>
          </w:tcPr>
          <w:p w14:paraId="7646BCB8" w14:textId="77777777" w:rsidR="003F0A64" w:rsidRDefault="003F0A64" w:rsidP="007C734C">
            <w:pPr>
              <w:pStyle w:val="Compact"/>
              <w:jc w:val="center"/>
            </w:pPr>
            <w:r>
              <w:t>-0.3672</w:t>
            </w:r>
          </w:p>
        </w:tc>
      </w:tr>
      <w:tr w:rsidR="003F0A64" w14:paraId="05392C51" w14:textId="77777777" w:rsidTr="007C734C">
        <w:tc>
          <w:tcPr>
            <w:tcW w:w="0" w:type="auto"/>
            <w:hideMark/>
          </w:tcPr>
          <w:p w14:paraId="58D6E266" w14:textId="77777777" w:rsidR="003F0A64" w:rsidRDefault="003F0A64" w:rsidP="007C734C">
            <w:pPr>
              <w:pStyle w:val="Compact"/>
            </w:pPr>
            <w:proofErr w:type="spellStart"/>
            <w:r>
              <w:t>GenderMale</w:t>
            </w:r>
            <w:proofErr w:type="spellEnd"/>
          </w:p>
        </w:tc>
        <w:tc>
          <w:tcPr>
            <w:tcW w:w="0" w:type="auto"/>
            <w:hideMark/>
          </w:tcPr>
          <w:p w14:paraId="46B84642" w14:textId="77777777" w:rsidR="003F0A64" w:rsidRDefault="003F0A64" w:rsidP="007C734C">
            <w:pPr>
              <w:pStyle w:val="Compact"/>
              <w:jc w:val="center"/>
            </w:pPr>
            <w:r>
              <w:t>0.5593</w:t>
            </w:r>
          </w:p>
        </w:tc>
        <w:tc>
          <w:tcPr>
            <w:tcW w:w="0" w:type="auto"/>
            <w:hideMark/>
          </w:tcPr>
          <w:p w14:paraId="266C3EB3" w14:textId="77777777" w:rsidR="003F0A64" w:rsidRDefault="003F0A64" w:rsidP="007C734C">
            <w:pPr>
              <w:pStyle w:val="Compact"/>
              <w:jc w:val="center"/>
            </w:pPr>
            <w:r>
              <w:t>1.7494</w:t>
            </w:r>
          </w:p>
        </w:tc>
        <w:tc>
          <w:tcPr>
            <w:tcW w:w="0" w:type="auto"/>
            <w:hideMark/>
          </w:tcPr>
          <w:p w14:paraId="21AE2202" w14:textId="77777777" w:rsidR="003F0A64" w:rsidRDefault="003F0A64" w:rsidP="007C734C">
            <w:pPr>
              <w:pStyle w:val="Compact"/>
              <w:jc w:val="center"/>
            </w:pPr>
            <w:r>
              <w:t>0.0395</w:t>
            </w:r>
          </w:p>
        </w:tc>
        <w:tc>
          <w:tcPr>
            <w:tcW w:w="0" w:type="auto"/>
            <w:hideMark/>
          </w:tcPr>
          <w:p w14:paraId="305B7D6B" w14:textId="77777777" w:rsidR="003F0A64" w:rsidRDefault="003F0A64" w:rsidP="007C734C">
            <w:pPr>
              <w:pStyle w:val="Compact"/>
              <w:jc w:val="center"/>
            </w:pPr>
            <w:r>
              <w:t>0.4818</w:t>
            </w:r>
          </w:p>
        </w:tc>
        <w:tc>
          <w:tcPr>
            <w:tcW w:w="0" w:type="auto"/>
            <w:hideMark/>
          </w:tcPr>
          <w:p w14:paraId="40E751C8" w14:textId="77777777" w:rsidR="003F0A64" w:rsidRDefault="003F0A64" w:rsidP="007C734C">
            <w:pPr>
              <w:pStyle w:val="Compact"/>
              <w:jc w:val="center"/>
            </w:pPr>
            <w:r>
              <w:t>0.6367</w:t>
            </w:r>
          </w:p>
        </w:tc>
      </w:tr>
      <w:tr w:rsidR="003F0A64" w14:paraId="7FAE7EE0" w14:textId="77777777" w:rsidTr="007C734C">
        <w:tc>
          <w:tcPr>
            <w:tcW w:w="0" w:type="auto"/>
            <w:tcBorders>
              <w:bottom w:val="single" w:sz="4" w:space="0" w:color="auto"/>
            </w:tcBorders>
            <w:hideMark/>
          </w:tcPr>
          <w:p w14:paraId="7D65DDEA" w14:textId="77777777" w:rsidR="003F0A64" w:rsidRDefault="003F0A64" w:rsidP="007C734C">
            <w:pPr>
              <w:pStyle w:val="Compact"/>
            </w:pPr>
            <w:r>
              <w:t>ND0</w:t>
            </w:r>
          </w:p>
        </w:tc>
        <w:tc>
          <w:tcPr>
            <w:tcW w:w="0" w:type="auto"/>
            <w:tcBorders>
              <w:bottom w:val="single" w:sz="4" w:space="0" w:color="auto"/>
            </w:tcBorders>
            <w:hideMark/>
          </w:tcPr>
          <w:p w14:paraId="47FF4694" w14:textId="77777777" w:rsidR="003F0A64" w:rsidRDefault="003F0A64" w:rsidP="007C734C">
            <w:pPr>
              <w:pStyle w:val="Compact"/>
              <w:jc w:val="center"/>
            </w:pPr>
            <w:r>
              <w:t>0.0039</w:t>
            </w:r>
          </w:p>
        </w:tc>
        <w:tc>
          <w:tcPr>
            <w:tcW w:w="0" w:type="auto"/>
            <w:tcBorders>
              <w:bottom w:val="single" w:sz="4" w:space="0" w:color="auto"/>
            </w:tcBorders>
            <w:hideMark/>
          </w:tcPr>
          <w:p w14:paraId="27437D40" w14:textId="77777777" w:rsidR="003F0A64" w:rsidRDefault="003F0A64" w:rsidP="007C734C">
            <w:pPr>
              <w:pStyle w:val="Compact"/>
              <w:jc w:val="center"/>
            </w:pPr>
            <w:r>
              <w:t>1.0039</w:t>
            </w:r>
          </w:p>
        </w:tc>
        <w:tc>
          <w:tcPr>
            <w:tcW w:w="0" w:type="auto"/>
            <w:tcBorders>
              <w:bottom w:val="single" w:sz="4" w:space="0" w:color="auto"/>
            </w:tcBorders>
            <w:hideMark/>
          </w:tcPr>
          <w:p w14:paraId="6328BFCA" w14:textId="77777777" w:rsidR="003F0A64" w:rsidRDefault="003F0A64" w:rsidP="007C734C">
            <w:pPr>
              <w:pStyle w:val="Compact"/>
              <w:jc w:val="center"/>
            </w:pPr>
            <w:r>
              <w:t>0.0003</w:t>
            </w:r>
          </w:p>
        </w:tc>
        <w:tc>
          <w:tcPr>
            <w:tcW w:w="0" w:type="auto"/>
            <w:tcBorders>
              <w:bottom w:val="single" w:sz="4" w:space="0" w:color="auto"/>
            </w:tcBorders>
            <w:hideMark/>
          </w:tcPr>
          <w:p w14:paraId="2D52836C" w14:textId="77777777" w:rsidR="003F0A64" w:rsidRDefault="003F0A64" w:rsidP="007C734C">
            <w:pPr>
              <w:pStyle w:val="Compact"/>
              <w:jc w:val="center"/>
            </w:pPr>
            <w:r>
              <w:t>0.0033</w:t>
            </w:r>
          </w:p>
        </w:tc>
        <w:tc>
          <w:tcPr>
            <w:tcW w:w="0" w:type="auto"/>
            <w:tcBorders>
              <w:bottom w:val="single" w:sz="4" w:space="0" w:color="auto"/>
            </w:tcBorders>
            <w:hideMark/>
          </w:tcPr>
          <w:p w14:paraId="5188944F" w14:textId="77777777" w:rsidR="003F0A64" w:rsidRDefault="003F0A64" w:rsidP="007C734C">
            <w:pPr>
              <w:pStyle w:val="Compact"/>
              <w:jc w:val="center"/>
            </w:pPr>
            <w:r>
              <w:t>0.0045</w:t>
            </w:r>
          </w:p>
        </w:tc>
      </w:tr>
    </w:tbl>
    <w:p w14:paraId="644651F5" w14:textId="498207A9" w:rsidR="003F0A64" w:rsidRDefault="003F0A64" w:rsidP="003F0A64">
      <w:pPr>
        <w:pStyle w:val="Caption"/>
        <w:jc w:val="left"/>
      </w:pPr>
      <w:r>
        <w:t>CIL indicates lower bound of 95% confidence interval and CIU indicates upper bound of 95% confidence interval</w:t>
      </w:r>
    </w:p>
    <w:p w14:paraId="145FEAE4" w14:textId="77777777" w:rsidR="003F0A64" w:rsidRDefault="003F0A64" w:rsidP="003F0A64">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Results of Model 2</w:t>
      </w:r>
    </w:p>
    <w:tbl>
      <w:tblPr>
        <w:tblStyle w:val="Table1"/>
        <w:tblW w:w="5000" w:type="pct"/>
        <w:tblLook w:val="04A0" w:firstRow="1" w:lastRow="0" w:firstColumn="1" w:lastColumn="0" w:noHBand="0" w:noVBand="1"/>
      </w:tblPr>
      <w:tblGrid>
        <w:gridCol w:w="2062"/>
        <w:gridCol w:w="1536"/>
        <w:gridCol w:w="1445"/>
        <w:gridCol w:w="1563"/>
        <w:gridCol w:w="1377"/>
        <w:gridCol w:w="1377"/>
      </w:tblGrid>
      <w:tr w:rsidR="003F0A64" w:rsidRPr="00DE30A8" w14:paraId="62F16338" w14:textId="77777777" w:rsidTr="007C734C">
        <w:tc>
          <w:tcPr>
            <w:tcW w:w="0" w:type="auto"/>
            <w:tcBorders>
              <w:top w:val="single" w:sz="4" w:space="0" w:color="auto"/>
              <w:bottom w:val="single" w:sz="4" w:space="0" w:color="auto"/>
            </w:tcBorders>
          </w:tcPr>
          <w:p w14:paraId="3EC2E9D2" w14:textId="77777777" w:rsidR="003F0A64" w:rsidRDefault="003F0A64" w:rsidP="007C734C">
            <w:pPr>
              <w:pStyle w:val="Compact"/>
            </w:pPr>
          </w:p>
        </w:tc>
        <w:tc>
          <w:tcPr>
            <w:tcW w:w="0" w:type="auto"/>
            <w:tcBorders>
              <w:top w:val="single" w:sz="4" w:space="0" w:color="auto"/>
              <w:bottom w:val="single" w:sz="4" w:space="0" w:color="auto"/>
            </w:tcBorders>
            <w:hideMark/>
          </w:tcPr>
          <w:p w14:paraId="5690F195" w14:textId="77777777" w:rsidR="003F0A64" w:rsidRDefault="003F0A64" w:rsidP="007C734C">
            <w:pPr>
              <w:pStyle w:val="Compact"/>
              <w:jc w:val="center"/>
            </w:pPr>
            <w:r>
              <w:t>Estimate</w:t>
            </w:r>
          </w:p>
        </w:tc>
        <w:tc>
          <w:tcPr>
            <w:tcW w:w="0" w:type="auto"/>
            <w:tcBorders>
              <w:top w:val="single" w:sz="4" w:space="0" w:color="auto"/>
              <w:bottom w:val="single" w:sz="4" w:space="0" w:color="auto"/>
            </w:tcBorders>
            <w:hideMark/>
          </w:tcPr>
          <w:p w14:paraId="1190C83C" w14:textId="77777777" w:rsidR="003F0A64" w:rsidRDefault="003F0A64" w:rsidP="007C734C">
            <w:pPr>
              <w:pStyle w:val="Compact"/>
              <w:jc w:val="center"/>
            </w:pPr>
            <w:proofErr w:type="spellStart"/>
            <w:r>
              <w:t>Exp.Est</w:t>
            </w:r>
            <w:proofErr w:type="spellEnd"/>
          </w:p>
        </w:tc>
        <w:tc>
          <w:tcPr>
            <w:tcW w:w="0" w:type="auto"/>
            <w:tcBorders>
              <w:top w:val="single" w:sz="4" w:space="0" w:color="auto"/>
              <w:bottom w:val="single" w:sz="4" w:space="0" w:color="auto"/>
            </w:tcBorders>
            <w:hideMark/>
          </w:tcPr>
          <w:p w14:paraId="7A5E56DF" w14:textId="77777777" w:rsidR="003F0A64" w:rsidRDefault="003F0A64" w:rsidP="007C734C">
            <w:pPr>
              <w:pStyle w:val="Compact"/>
              <w:jc w:val="center"/>
            </w:pPr>
            <w:proofErr w:type="spellStart"/>
            <w:r>
              <w:t>Std.Error</w:t>
            </w:r>
            <w:proofErr w:type="spellEnd"/>
          </w:p>
        </w:tc>
        <w:tc>
          <w:tcPr>
            <w:tcW w:w="0" w:type="auto"/>
            <w:tcBorders>
              <w:top w:val="single" w:sz="4" w:space="0" w:color="auto"/>
              <w:bottom w:val="single" w:sz="4" w:space="0" w:color="auto"/>
            </w:tcBorders>
            <w:hideMark/>
          </w:tcPr>
          <w:p w14:paraId="1037A83E" w14:textId="77777777" w:rsidR="003F0A64" w:rsidRDefault="003F0A64" w:rsidP="007C734C">
            <w:pPr>
              <w:pStyle w:val="Compact"/>
              <w:jc w:val="center"/>
            </w:pPr>
            <w:r>
              <w:t>CIL</w:t>
            </w:r>
          </w:p>
        </w:tc>
        <w:tc>
          <w:tcPr>
            <w:tcW w:w="0" w:type="auto"/>
            <w:tcBorders>
              <w:top w:val="single" w:sz="4" w:space="0" w:color="auto"/>
              <w:bottom w:val="single" w:sz="4" w:space="0" w:color="auto"/>
            </w:tcBorders>
            <w:hideMark/>
          </w:tcPr>
          <w:p w14:paraId="423E167C" w14:textId="77777777" w:rsidR="003F0A64" w:rsidRDefault="003F0A64" w:rsidP="007C734C">
            <w:pPr>
              <w:pStyle w:val="Compact"/>
              <w:jc w:val="center"/>
            </w:pPr>
            <w:r>
              <w:t>CIU</w:t>
            </w:r>
          </w:p>
        </w:tc>
      </w:tr>
      <w:tr w:rsidR="003F0A64" w14:paraId="71F205F2" w14:textId="77777777" w:rsidTr="007C734C">
        <w:tc>
          <w:tcPr>
            <w:tcW w:w="0" w:type="auto"/>
            <w:tcBorders>
              <w:top w:val="single" w:sz="4" w:space="0" w:color="auto"/>
            </w:tcBorders>
            <w:hideMark/>
          </w:tcPr>
          <w:p w14:paraId="617842D1" w14:textId="77777777" w:rsidR="003F0A64" w:rsidRDefault="003F0A64" w:rsidP="007C734C">
            <w:pPr>
              <w:pStyle w:val="Compact"/>
            </w:pPr>
            <w:r>
              <w:t>(Intercept)</w:t>
            </w:r>
          </w:p>
        </w:tc>
        <w:tc>
          <w:tcPr>
            <w:tcW w:w="0" w:type="auto"/>
            <w:tcBorders>
              <w:top w:val="single" w:sz="4" w:space="0" w:color="auto"/>
            </w:tcBorders>
            <w:hideMark/>
          </w:tcPr>
          <w:p w14:paraId="5DA84635" w14:textId="77777777" w:rsidR="003F0A64" w:rsidRDefault="003F0A64" w:rsidP="007C734C">
            <w:pPr>
              <w:pStyle w:val="Compact"/>
              <w:jc w:val="center"/>
            </w:pPr>
            <w:r>
              <w:t>3.4741</w:t>
            </w:r>
          </w:p>
        </w:tc>
        <w:tc>
          <w:tcPr>
            <w:tcW w:w="0" w:type="auto"/>
            <w:tcBorders>
              <w:top w:val="single" w:sz="4" w:space="0" w:color="auto"/>
            </w:tcBorders>
            <w:hideMark/>
          </w:tcPr>
          <w:p w14:paraId="1B9A49E1" w14:textId="77777777" w:rsidR="003F0A64" w:rsidRDefault="003F0A64" w:rsidP="007C734C">
            <w:pPr>
              <w:pStyle w:val="Compact"/>
              <w:jc w:val="center"/>
            </w:pPr>
            <w:r>
              <w:t>32.2692</w:t>
            </w:r>
          </w:p>
        </w:tc>
        <w:tc>
          <w:tcPr>
            <w:tcW w:w="0" w:type="auto"/>
            <w:tcBorders>
              <w:top w:val="single" w:sz="4" w:space="0" w:color="auto"/>
            </w:tcBorders>
            <w:hideMark/>
          </w:tcPr>
          <w:p w14:paraId="0911026D" w14:textId="77777777" w:rsidR="003F0A64" w:rsidRDefault="003F0A64" w:rsidP="007C734C">
            <w:pPr>
              <w:pStyle w:val="Compact"/>
              <w:jc w:val="center"/>
            </w:pPr>
            <w:r>
              <w:t>0.0304</w:t>
            </w:r>
          </w:p>
        </w:tc>
        <w:tc>
          <w:tcPr>
            <w:tcW w:w="0" w:type="auto"/>
            <w:tcBorders>
              <w:top w:val="single" w:sz="4" w:space="0" w:color="auto"/>
            </w:tcBorders>
            <w:hideMark/>
          </w:tcPr>
          <w:p w14:paraId="6C96C039" w14:textId="77777777" w:rsidR="003F0A64" w:rsidRDefault="003F0A64" w:rsidP="007C734C">
            <w:pPr>
              <w:pStyle w:val="Compact"/>
              <w:jc w:val="center"/>
            </w:pPr>
            <w:r>
              <w:t>3.4144</w:t>
            </w:r>
          </w:p>
        </w:tc>
        <w:tc>
          <w:tcPr>
            <w:tcW w:w="0" w:type="auto"/>
            <w:tcBorders>
              <w:top w:val="single" w:sz="4" w:space="0" w:color="auto"/>
            </w:tcBorders>
            <w:hideMark/>
          </w:tcPr>
          <w:p w14:paraId="6E59467C" w14:textId="77777777" w:rsidR="003F0A64" w:rsidRDefault="003F0A64" w:rsidP="007C734C">
            <w:pPr>
              <w:pStyle w:val="Compact"/>
              <w:jc w:val="center"/>
            </w:pPr>
            <w:r>
              <w:t>3.5337</w:t>
            </w:r>
          </w:p>
        </w:tc>
      </w:tr>
      <w:tr w:rsidR="003F0A64" w14:paraId="1A1E3D31" w14:textId="77777777" w:rsidTr="007C734C">
        <w:tc>
          <w:tcPr>
            <w:tcW w:w="0" w:type="auto"/>
            <w:hideMark/>
          </w:tcPr>
          <w:p w14:paraId="6CDAFB57" w14:textId="77777777" w:rsidR="003F0A64" w:rsidRDefault="003F0A64" w:rsidP="007C734C">
            <w:pPr>
              <w:pStyle w:val="Compact"/>
            </w:pPr>
            <w:r>
              <w:t>Treatment2</w:t>
            </w:r>
          </w:p>
        </w:tc>
        <w:tc>
          <w:tcPr>
            <w:tcW w:w="0" w:type="auto"/>
            <w:hideMark/>
          </w:tcPr>
          <w:p w14:paraId="27E91E23" w14:textId="77777777" w:rsidR="003F0A64" w:rsidRDefault="003F0A64" w:rsidP="007C734C">
            <w:pPr>
              <w:pStyle w:val="Compact"/>
              <w:jc w:val="center"/>
            </w:pPr>
            <w:r>
              <w:t>-0.3899</w:t>
            </w:r>
          </w:p>
        </w:tc>
        <w:tc>
          <w:tcPr>
            <w:tcW w:w="0" w:type="auto"/>
            <w:hideMark/>
          </w:tcPr>
          <w:p w14:paraId="3535DCFD" w14:textId="77777777" w:rsidR="003F0A64" w:rsidRDefault="003F0A64" w:rsidP="007C734C">
            <w:pPr>
              <w:pStyle w:val="Compact"/>
              <w:jc w:val="center"/>
            </w:pPr>
            <w:r>
              <w:t>0.6771</w:t>
            </w:r>
          </w:p>
        </w:tc>
        <w:tc>
          <w:tcPr>
            <w:tcW w:w="0" w:type="auto"/>
            <w:hideMark/>
          </w:tcPr>
          <w:p w14:paraId="6E6B9931" w14:textId="77777777" w:rsidR="003F0A64" w:rsidRDefault="003F0A64" w:rsidP="007C734C">
            <w:pPr>
              <w:pStyle w:val="Compact"/>
              <w:jc w:val="center"/>
            </w:pPr>
            <w:r>
              <w:t>0.0165</w:t>
            </w:r>
          </w:p>
        </w:tc>
        <w:tc>
          <w:tcPr>
            <w:tcW w:w="0" w:type="auto"/>
            <w:hideMark/>
          </w:tcPr>
          <w:p w14:paraId="30E0F15A" w14:textId="77777777" w:rsidR="003F0A64" w:rsidRDefault="003F0A64" w:rsidP="007C734C">
            <w:pPr>
              <w:pStyle w:val="Compact"/>
              <w:jc w:val="center"/>
            </w:pPr>
            <w:r>
              <w:t>-0.4222</w:t>
            </w:r>
          </w:p>
        </w:tc>
        <w:tc>
          <w:tcPr>
            <w:tcW w:w="0" w:type="auto"/>
            <w:hideMark/>
          </w:tcPr>
          <w:p w14:paraId="4097C99C" w14:textId="77777777" w:rsidR="003F0A64" w:rsidRDefault="003F0A64" w:rsidP="007C734C">
            <w:pPr>
              <w:pStyle w:val="Compact"/>
              <w:jc w:val="center"/>
            </w:pPr>
            <w:r>
              <w:t>-0.3577</w:t>
            </w:r>
          </w:p>
        </w:tc>
      </w:tr>
      <w:tr w:rsidR="003F0A64" w14:paraId="799EDFAF" w14:textId="77777777" w:rsidTr="007C734C">
        <w:tc>
          <w:tcPr>
            <w:tcW w:w="0" w:type="auto"/>
            <w:hideMark/>
          </w:tcPr>
          <w:p w14:paraId="151E3A46" w14:textId="77777777" w:rsidR="003F0A64" w:rsidRDefault="003F0A64" w:rsidP="007C734C">
            <w:pPr>
              <w:pStyle w:val="Compact"/>
            </w:pPr>
            <w:r>
              <w:t>Treatment3</w:t>
            </w:r>
          </w:p>
        </w:tc>
        <w:tc>
          <w:tcPr>
            <w:tcW w:w="0" w:type="auto"/>
            <w:hideMark/>
          </w:tcPr>
          <w:p w14:paraId="43AE4F1E" w14:textId="77777777" w:rsidR="003F0A64" w:rsidRDefault="003F0A64" w:rsidP="007C734C">
            <w:pPr>
              <w:pStyle w:val="Compact"/>
              <w:jc w:val="center"/>
            </w:pPr>
            <w:r>
              <w:t>-0.3531</w:t>
            </w:r>
          </w:p>
        </w:tc>
        <w:tc>
          <w:tcPr>
            <w:tcW w:w="0" w:type="auto"/>
            <w:hideMark/>
          </w:tcPr>
          <w:p w14:paraId="111E1AE0" w14:textId="77777777" w:rsidR="003F0A64" w:rsidRDefault="003F0A64" w:rsidP="007C734C">
            <w:pPr>
              <w:pStyle w:val="Compact"/>
              <w:jc w:val="center"/>
            </w:pPr>
            <w:r>
              <w:t>0.7025</w:t>
            </w:r>
          </w:p>
        </w:tc>
        <w:tc>
          <w:tcPr>
            <w:tcW w:w="0" w:type="auto"/>
            <w:hideMark/>
          </w:tcPr>
          <w:p w14:paraId="4AF9C935" w14:textId="77777777" w:rsidR="003F0A64" w:rsidRDefault="003F0A64" w:rsidP="007C734C">
            <w:pPr>
              <w:pStyle w:val="Compact"/>
              <w:jc w:val="center"/>
            </w:pPr>
            <w:r>
              <w:t>0.0251</w:t>
            </w:r>
          </w:p>
        </w:tc>
        <w:tc>
          <w:tcPr>
            <w:tcW w:w="0" w:type="auto"/>
            <w:hideMark/>
          </w:tcPr>
          <w:p w14:paraId="6BA8DB2E" w14:textId="77777777" w:rsidR="003F0A64" w:rsidRDefault="003F0A64" w:rsidP="007C734C">
            <w:pPr>
              <w:pStyle w:val="Compact"/>
              <w:jc w:val="center"/>
            </w:pPr>
            <w:r>
              <w:t>-0.4024</w:t>
            </w:r>
          </w:p>
        </w:tc>
        <w:tc>
          <w:tcPr>
            <w:tcW w:w="0" w:type="auto"/>
            <w:hideMark/>
          </w:tcPr>
          <w:p w14:paraId="47ED6740" w14:textId="77777777" w:rsidR="003F0A64" w:rsidRDefault="003F0A64" w:rsidP="007C734C">
            <w:pPr>
              <w:pStyle w:val="Compact"/>
              <w:jc w:val="center"/>
            </w:pPr>
            <w:r>
              <w:t>-0.3039</w:t>
            </w:r>
          </w:p>
        </w:tc>
      </w:tr>
      <w:tr w:rsidR="003F0A64" w14:paraId="2CFF50B6" w14:textId="77777777" w:rsidTr="007C734C">
        <w:tc>
          <w:tcPr>
            <w:tcW w:w="0" w:type="auto"/>
            <w:hideMark/>
          </w:tcPr>
          <w:p w14:paraId="5EF829D1" w14:textId="77777777" w:rsidR="003F0A64" w:rsidRDefault="003F0A64" w:rsidP="007C734C">
            <w:pPr>
              <w:pStyle w:val="Compact"/>
            </w:pPr>
            <w:proofErr w:type="spellStart"/>
            <w:r>
              <w:t>GenderMale</w:t>
            </w:r>
            <w:proofErr w:type="spellEnd"/>
          </w:p>
        </w:tc>
        <w:tc>
          <w:tcPr>
            <w:tcW w:w="0" w:type="auto"/>
            <w:hideMark/>
          </w:tcPr>
          <w:p w14:paraId="716930D5" w14:textId="77777777" w:rsidR="003F0A64" w:rsidRDefault="003F0A64" w:rsidP="007C734C">
            <w:pPr>
              <w:pStyle w:val="Compact"/>
              <w:jc w:val="center"/>
            </w:pPr>
            <w:r>
              <w:t>0.5568</w:t>
            </w:r>
          </w:p>
        </w:tc>
        <w:tc>
          <w:tcPr>
            <w:tcW w:w="0" w:type="auto"/>
            <w:hideMark/>
          </w:tcPr>
          <w:p w14:paraId="6B834985" w14:textId="77777777" w:rsidR="003F0A64" w:rsidRDefault="003F0A64" w:rsidP="007C734C">
            <w:pPr>
              <w:pStyle w:val="Compact"/>
              <w:jc w:val="center"/>
            </w:pPr>
            <w:r>
              <w:t>1.7450</w:t>
            </w:r>
          </w:p>
        </w:tc>
        <w:tc>
          <w:tcPr>
            <w:tcW w:w="0" w:type="auto"/>
            <w:hideMark/>
          </w:tcPr>
          <w:p w14:paraId="26A8741F" w14:textId="77777777" w:rsidR="003F0A64" w:rsidRDefault="003F0A64" w:rsidP="007C734C">
            <w:pPr>
              <w:pStyle w:val="Compact"/>
              <w:jc w:val="center"/>
            </w:pPr>
            <w:r>
              <w:t>0.0439</w:t>
            </w:r>
          </w:p>
        </w:tc>
        <w:tc>
          <w:tcPr>
            <w:tcW w:w="0" w:type="auto"/>
            <w:hideMark/>
          </w:tcPr>
          <w:p w14:paraId="277B8608" w14:textId="77777777" w:rsidR="003F0A64" w:rsidRDefault="003F0A64" w:rsidP="007C734C">
            <w:pPr>
              <w:pStyle w:val="Compact"/>
              <w:jc w:val="center"/>
            </w:pPr>
            <w:r>
              <w:t>0.4708</w:t>
            </w:r>
          </w:p>
        </w:tc>
        <w:tc>
          <w:tcPr>
            <w:tcW w:w="0" w:type="auto"/>
            <w:hideMark/>
          </w:tcPr>
          <w:p w14:paraId="48D1A04C" w14:textId="77777777" w:rsidR="003F0A64" w:rsidRDefault="003F0A64" w:rsidP="007C734C">
            <w:pPr>
              <w:pStyle w:val="Compact"/>
              <w:jc w:val="center"/>
            </w:pPr>
            <w:r>
              <w:t>0.6427</w:t>
            </w:r>
          </w:p>
        </w:tc>
      </w:tr>
      <w:tr w:rsidR="003F0A64" w14:paraId="19AF8A36" w14:textId="77777777" w:rsidTr="007C734C">
        <w:tc>
          <w:tcPr>
            <w:tcW w:w="0" w:type="auto"/>
            <w:hideMark/>
          </w:tcPr>
          <w:p w14:paraId="59C82C6F" w14:textId="77777777" w:rsidR="003F0A64" w:rsidRDefault="003F0A64" w:rsidP="007C734C">
            <w:pPr>
              <w:pStyle w:val="Compact"/>
            </w:pPr>
            <w:r>
              <w:t>ND0</w:t>
            </w:r>
          </w:p>
        </w:tc>
        <w:tc>
          <w:tcPr>
            <w:tcW w:w="0" w:type="auto"/>
            <w:hideMark/>
          </w:tcPr>
          <w:p w14:paraId="6F5D81C0" w14:textId="77777777" w:rsidR="003F0A64" w:rsidRDefault="003F0A64" w:rsidP="007C734C">
            <w:pPr>
              <w:pStyle w:val="Compact"/>
              <w:jc w:val="center"/>
            </w:pPr>
            <w:r>
              <w:t>0.0034</w:t>
            </w:r>
          </w:p>
        </w:tc>
        <w:tc>
          <w:tcPr>
            <w:tcW w:w="0" w:type="auto"/>
            <w:hideMark/>
          </w:tcPr>
          <w:p w14:paraId="7147A460" w14:textId="77777777" w:rsidR="003F0A64" w:rsidRDefault="003F0A64" w:rsidP="007C734C">
            <w:pPr>
              <w:pStyle w:val="Compact"/>
              <w:jc w:val="center"/>
            </w:pPr>
            <w:r>
              <w:t>1.0034</w:t>
            </w:r>
          </w:p>
        </w:tc>
        <w:tc>
          <w:tcPr>
            <w:tcW w:w="0" w:type="auto"/>
            <w:hideMark/>
          </w:tcPr>
          <w:p w14:paraId="6479DA01" w14:textId="77777777" w:rsidR="003F0A64" w:rsidRDefault="003F0A64" w:rsidP="007C734C">
            <w:pPr>
              <w:pStyle w:val="Compact"/>
              <w:jc w:val="center"/>
            </w:pPr>
            <w:r>
              <w:t>0.0004</w:t>
            </w:r>
          </w:p>
        </w:tc>
        <w:tc>
          <w:tcPr>
            <w:tcW w:w="0" w:type="auto"/>
            <w:hideMark/>
          </w:tcPr>
          <w:p w14:paraId="31AD3E31" w14:textId="77777777" w:rsidR="003F0A64" w:rsidRDefault="003F0A64" w:rsidP="007C734C">
            <w:pPr>
              <w:pStyle w:val="Compact"/>
              <w:jc w:val="center"/>
            </w:pPr>
            <w:r>
              <w:t>0.0026</w:t>
            </w:r>
          </w:p>
        </w:tc>
        <w:tc>
          <w:tcPr>
            <w:tcW w:w="0" w:type="auto"/>
            <w:hideMark/>
          </w:tcPr>
          <w:p w14:paraId="5E37B1DE" w14:textId="77777777" w:rsidR="003F0A64" w:rsidRDefault="003F0A64" w:rsidP="007C734C">
            <w:pPr>
              <w:pStyle w:val="Compact"/>
              <w:jc w:val="center"/>
            </w:pPr>
            <w:r>
              <w:t>0.0042</w:t>
            </w:r>
          </w:p>
        </w:tc>
      </w:tr>
      <w:tr w:rsidR="003F0A64" w14:paraId="18BB5B81" w14:textId="77777777" w:rsidTr="007C734C">
        <w:tc>
          <w:tcPr>
            <w:tcW w:w="0" w:type="auto"/>
            <w:tcBorders>
              <w:bottom w:val="single" w:sz="4" w:space="0" w:color="auto"/>
            </w:tcBorders>
            <w:hideMark/>
          </w:tcPr>
          <w:p w14:paraId="7E55F70E" w14:textId="77777777" w:rsidR="003F0A64" w:rsidRDefault="003F0A64" w:rsidP="007C734C">
            <w:pPr>
              <w:pStyle w:val="Compact"/>
            </w:pPr>
            <w:r>
              <w:t>ND30</w:t>
            </w:r>
          </w:p>
        </w:tc>
        <w:tc>
          <w:tcPr>
            <w:tcW w:w="0" w:type="auto"/>
            <w:tcBorders>
              <w:bottom w:val="single" w:sz="4" w:space="0" w:color="auto"/>
            </w:tcBorders>
            <w:hideMark/>
          </w:tcPr>
          <w:p w14:paraId="42F3D231" w14:textId="77777777" w:rsidR="003F0A64" w:rsidRDefault="003F0A64" w:rsidP="007C734C">
            <w:pPr>
              <w:pStyle w:val="Compact"/>
              <w:jc w:val="center"/>
            </w:pPr>
            <w:r>
              <w:t>0.0012</w:t>
            </w:r>
          </w:p>
        </w:tc>
        <w:tc>
          <w:tcPr>
            <w:tcW w:w="0" w:type="auto"/>
            <w:tcBorders>
              <w:bottom w:val="single" w:sz="4" w:space="0" w:color="auto"/>
            </w:tcBorders>
            <w:hideMark/>
          </w:tcPr>
          <w:p w14:paraId="1ED37041" w14:textId="77777777" w:rsidR="003F0A64" w:rsidRDefault="003F0A64" w:rsidP="007C734C">
            <w:pPr>
              <w:pStyle w:val="Compact"/>
              <w:jc w:val="center"/>
            </w:pPr>
            <w:r>
              <w:t>1.0012</w:t>
            </w:r>
          </w:p>
        </w:tc>
        <w:tc>
          <w:tcPr>
            <w:tcW w:w="0" w:type="auto"/>
            <w:tcBorders>
              <w:bottom w:val="single" w:sz="4" w:space="0" w:color="auto"/>
            </w:tcBorders>
            <w:hideMark/>
          </w:tcPr>
          <w:p w14:paraId="308627E9" w14:textId="77777777" w:rsidR="003F0A64" w:rsidRDefault="003F0A64" w:rsidP="007C734C">
            <w:pPr>
              <w:pStyle w:val="Compact"/>
              <w:jc w:val="center"/>
            </w:pPr>
            <w:r>
              <w:t>0.0005</w:t>
            </w:r>
          </w:p>
        </w:tc>
        <w:tc>
          <w:tcPr>
            <w:tcW w:w="0" w:type="auto"/>
            <w:tcBorders>
              <w:bottom w:val="single" w:sz="4" w:space="0" w:color="auto"/>
            </w:tcBorders>
            <w:hideMark/>
          </w:tcPr>
          <w:p w14:paraId="25B5D543" w14:textId="77777777" w:rsidR="003F0A64" w:rsidRDefault="003F0A64" w:rsidP="007C734C">
            <w:pPr>
              <w:pStyle w:val="Compact"/>
              <w:jc w:val="center"/>
            </w:pPr>
            <w:r>
              <w:t>0.0002</w:t>
            </w:r>
          </w:p>
        </w:tc>
        <w:tc>
          <w:tcPr>
            <w:tcW w:w="0" w:type="auto"/>
            <w:tcBorders>
              <w:bottom w:val="single" w:sz="4" w:space="0" w:color="auto"/>
            </w:tcBorders>
            <w:hideMark/>
          </w:tcPr>
          <w:p w14:paraId="4BC326FB" w14:textId="77777777" w:rsidR="003F0A64" w:rsidRDefault="003F0A64" w:rsidP="007C734C">
            <w:pPr>
              <w:pStyle w:val="Compact"/>
              <w:jc w:val="center"/>
            </w:pPr>
            <w:r>
              <w:t>0.0023</w:t>
            </w:r>
          </w:p>
        </w:tc>
      </w:tr>
    </w:tbl>
    <w:p w14:paraId="66B2220D" w14:textId="0C394BC3" w:rsidR="003F0A64" w:rsidRDefault="003F0A64" w:rsidP="003F0A64">
      <w:pPr>
        <w:pStyle w:val="Caption"/>
        <w:jc w:val="left"/>
      </w:pPr>
      <w:r>
        <w:t>CIL indicates lower bound of 95% confidence interval and CIU indicates upper bound of 95% confidence interval</w:t>
      </w:r>
    </w:p>
    <w:p w14:paraId="1E5AE67A" w14:textId="77777777" w:rsidR="003F0A64" w:rsidRDefault="003F0A64" w:rsidP="003F0A64">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Results of Model 3</w:t>
      </w:r>
    </w:p>
    <w:tbl>
      <w:tblPr>
        <w:tblStyle w:val="Table"/>
        <w:tblW w:w="5000" w:type="pct"/>
        <w:tblLook w:val="07E0" w:firstRow="1" w:lastRow="1" w:firstColumn="1" w:lastColumn="1" w:noHBand="1" w:noVBand="1"/>
      </w:tblPr>
      <w:tblGrid>
        <w:gridCol w:w="2760"/>
        <w:gridCol w:w="1390"/>
        <w:gridCol w:w="1307"/>
        <w:gridCol w:w="1413"/>
        <w:gridCol w:w="1245"/>
        <w:gridCol w:w="1245"/>
      </w:tblGrid>
      <w:tr w:rsidR="003F0A64" w14:paraId="1928ED15" w14:textId="77777777" w:rsidTr="007C734C">
        <w:tc>
          <w:tcPr>
            <w:tcW w:w="1474" w:type="pct"/>
            <w:tcBorders>
              <w:top w:val="single" w:sz="4" w:space="0" w:color="auto"/>
              <w:bottom w:val="single" w:sz="2" w:space="0" w:color="auto"/>
            </w:tcBorders>
            <w:vAlign w:val="bottom"/>
          </w:tcPr>
          <w:p w14:paraId="20489C4E" w14:textId="77777777" w:rsidR="003F0A64" w:rsidRDefault="003F0A64" w:rsidP="007C734C">
            <w:pPr>
              <w:pStyle w:val="Compact"/>
            </w:pPr>
          </w:p>
        </w:tc>
        <w:tc>
          <w:tcPr>
            <w:tcW w:w="742" w:type="pct"/>
            <w:tcBorders>
              <w:top w:val="single" w:sz="4" w:space="0" w:color="auto"/>
              <w:bottom w:val="single" w:sz="2" w:space="0" w:color="auto"/>
            </w:tcBorders>
            <w:vAlign w:val="bottom"/>
          </w:tcPr>
          <w:p w14:paraId="1CA128D7" w14:textId="77777777" w:rsidR="003F0A64" w:rsidRDefault="003F0A64" w:rsidP="007C734C">
            <w:pPr>
              <w:pStyle w:val="Compact"/>
              <w:jc w:val="center"/>
            </w:pPr>
            <w:r>
              <w:t>Estimate</w:t>
            </w:r>
          </w:p>
        </w:tc>
        <w:tc>
          <w:tcPr>
            <w:tcW w:w="698" w:type="pct"/>
            <w:tcBorders>
              <w:top w:val="single" w:sz="4" w:space="0" w:color="auto"/>
              <w:bottom w:val="single" w:sz="2" w:space="0" w:color="auto"/>
            </w:tcBorders>
            <w:vAlign w:val="bottom"/>
          </w:tcPr>
          <w:p w14:paraId="6DA88509" w14:textId="77777777" w:rsidR="003F0A64" w:rsidRDefault="003F0A64" w:rsidP="007C734C">
            <w:pPr>
              <w:pStyle w:val="Compact"/>
              <w:jc w:val="center"/>
            </w:pPr>
            <w:proofErr w:type="spellStart"/>
            <w:r>
              <w:t>Exp.Est</w:t>
            </w:r>
            <w:proofErr w:type="spellEnd"/>
          </w:p>
        </w:tc>
        <w:tc>
          <w:tcPr>
            <w:tcW w:w="755" w:type="pct"/>
            <w:tcBorders>
              <w:top w:val="single" w:sz="4" w:space="0" w:color="auto"/>
              <w:bottom w:val="single" w:sz="2" w:space="0" w:color="auto"/>
            </w:tcBorders>
            <w:vAlign w:val="bottom"/>
          </w:tcPr>
          <w:p w14:paraId="7504AEAA" w14:textId="77777777" w:rsidR="003F0A64" w:rsidRDefault="003F0A64" w:rsidP="007C734C">
            <w:pPr>
              <w:pStyle w:val="Compact"/>
              <w:jc w:val="center"/>
            </w:pPr>
            <w:proofErr w:type="spellStart"/>
            <w:r>
              <w:t>Std.Error</w:t>
            </w:r>
            <w:proofErr w:type="spellEnd"/>
          </w:p>
        </w:tc>
        <w:tc>
          <w:tcPr>
            <w:tcW w:w="665" w:type="pct"/>
            <w:tcBorders>
              <w:top w:val="single" w:sz="4" w:space="0" w:color="auto"/>
              <w:bottom w:val="single" w:sz="2" w:space="0" w:color="auto"/>
            </w:tcBorders>
            <w:vAlign w:val="bottom"/>
          </w:tcPr>
          <w:p w14:paraId="4FADAE76" w14:textId="77777777" w:rsidR="003F0A64" w:rsidRDefault="003F0A64" w:rsidP="007C734C">
            <w:pPr>
              <w:pStyle w:val="Compact"/>
              <w:jc w:val="center"/>
            </w:pPr>
            <w:r>
              <w:t>CIL</w:t>
            </w:r>
          </w:p>
        </w:tc>
        <w:tc>
          <w:tcPr>
            <w:tcW w:w="665" w:type="pct"/>
            <w:tcBorders>
              <w:top w:val="single" w:sz="4" w:space="0" w:color="auto"/>
              <w:bottom w:val="single" w:sz="2" w:space="0" w:color="auto"/>
            </w:tcBorders>
            <w:vAlign w:val="bottom"/>
          </w:tcPr>
          <w:p w14:paraId="550AC4B3" w14:textId="77777777" w:rsidR="003F0A64" w:rsidRDefault="003F0A64" w:rsidP="007C734C">
            <w:pPr>
              <w:pStyle w:val="Compact"/>
              <w:jc w:val="center"/>
            </w:pPr>
            <w:r>
              <w:t>CIU</w:t>
            </w:r>
          </w:p>
        </w:tc>
      </w:tr>
      <w:tr w:rsidR="003F0A64" w14:paraId="4FAA3C15" w14:textId="77777777" w:rsidTr="007C734C">
        <w:tc>
          <w:tcPr>
            <w:tcW w:w="1474" w:type="pct"/>
            <w:tcBorders>
              <w:top w:val="single" w:sz="2" w:space="0" w:color="auto"/>
            </w:tcBorders>
          </w:tcPr>
          <w:p w14:paraId="521C013D" w14:textId="77777777" w:rsidR="003F0A64" w:rsidRDefault="003F0A64" w:rsidP="007C734C">
            <w:pPr>
              <w:pStyle w:val="Compact"/>
            </w:pPr>
            <w:r>
              <w:t>(Intercept)</w:t>
            </w:r>
          </w:p>
        </w:tc>
        <w:tc>
          <w:tcPr>
            <w:tcW w:w="742" w:type="pct"/>
            <w:tcBorders>
              <w:top w:val="single" w:sz="2" w:space="0" w:color="auto"/>
            </w:tcBorders>
          </w:tcPr>
          <w:p w14:paraId="17686D5C" w14:textId="77777777" w:rsidR="003F0A64" w:rsidRDefault="003F0A64" w:rsidP="007C734C">
            <w:pPr>
              <w:pStyle w:val="Compact"/>
              <w:jc w:val="center"/>
            </w:pPr>
            <w:r>
              <w:t>3.3012</w:t>
            </w:r>
          </w:p>
        </w:tc>
        <w:tc>
          <w:tcPr>
            <w:tcW w:w="698" w:type="pct"/>
            <w:tcBorders>
              <w:top w:val="single" w:sz="2" w:space="0" w:color="auto"/>
            </w:tcBorders>
          </w:tcPr>
          <w:p w14:paraId="1C3820FD" w14:textId="77777777" w:rsidR="003F0A64" w:rsidRDefault="003F0A64" w:rsidP="007C734C">
            <w:pPr>
              <w:pStyle w:val="Compact"/>
              <w:jc w:val="center"/>
            </w:pPr>
            <w:r>
              <w:t>27.1448</w:t>
            </w:r>
          </w:p>
        </w:tc>
        <w:tc>
          <w:tcPr>
            <w:tcW w:w="755" w:type="pct"/>
            <w:tcBorders>
              <w:top w:val="single" w:sz="2" w:space="0" w:color="auto"/>
            </w:tcBorders>
          </w:tcPr>
          <w:p w14:paraId="30565716" w14:textId="77777777" w:rsidR="003F0A64" w:rsidRDefault="003F0A64" w:rsidP="007C734C">
            <w:pPr>
              <w:pStyle w:val="Compact"/>
              <w:jc w:val="center"/>
            </w:pPr>
            <w:r>
              <w:t>0.0227</w:t>
            </w:r>
          </w:p>
        </w:tc>
        <w:tc>
          <w:tcPr>
            <w:tcW w:w="665" w:type="pct"/>
            <w:tcBorders>
              <w:top w:val="single" w:sz="2" w:space="0" w:color="auto"/>
            </w:tcBorders>
          </w:tcPr>
          <w:p w14:paraId="7B57C446" w14:textId="77777777" w:rsidR="003F0A64" w:rsidRDefault="003F0A64" w:rsidP="007C734C">
            <w:pPr>
              <w:pStyle w:val="Compact"/>
              <w:jc w:val="center"/>
            </w:pPr>
            <w:r>
              <w:t>3.2567</w:t>
            </w:r>
          </w:p>
        </w:tc>
        <w:tc>
          <w:tcPr>
            <w:tcW w:w="665" w:type="pct"/>
            <w:tcBorders>
              <w:top w:val="single" w:sz="2" w:space="0" w:color="auto"/>
            </w:tcBorders>
          </w:tcPr>
          <w:p w14:paraId="7111B719" w14:textId="77777777" w:rsidR="003F0A64" w:rsidRDefault="003F0A64" w:rsidP="007C734C">
            <w:pPr>
              <w:pStyle w:val="Compact"/>
              <w:jc w:val="center"/>
            </w:pPr>
            <w:r>
              <w:t>3.3456</w:t>
            </w:r>
          </w:p>
        </w:tc>
      </w:tr>
      <w:tr w:rsidR="003F0A64" w14:paraId="44F072B4" w14:textId="77777777" w:rsidTr="007C734C">
        <w:tc>
          <w:tcPr>
            <w:tcW w:w="1474" w:type="pct"/>
          </w:tcPr>
          <w:p w14:paraId="50CFD129" w14:textId="77777777" w:rsidR="003F0A64" w:rsidRDefault="003F0A64" w:rsidP="007C734C">
            <w:pPr>
              <w:pStyle w:val="Compact"/>
            </w:pPr>
            <w:r>
              <w:t>Treatment2</w:t>
            </w:r>
          </w:p>
        </w:tc>
        <w:tc>
          <w:tcPr>
            <w:tcW w:w="742" w:type="pct"/>
          </w:tcPr>
          <w:p w14:paraId="4F980270" w14:textId="77777777" w:rsidR="003F0A64" w:rsidRDefault="003F0A64" w:rsidP="007C734C">
            <w:pPr>
              <w:pStyle w:val="Compact"/>
              <w:jc w:val="center"/>
            </w:pPr>
            <w:r>
              <w:t>0.0049</w:t>
            </w:r>
          </w:p>
        </w:tc>
        <w:tc>
          <w:tcPr>
            <w:tcW w:w="698" w:type="pct"/>
          </w:tcPr>
          <w:p w14:paraId="15A255C9" w14:textId="77777777" w:rsidR="003F0A64" w:rsidRDefault="003F0A64" w:rsidP="007C734C">
            <w:pPr>
              <w:pStyle w:val="Compact"/>
              <w:jc w:val="center"/>
            </w:pPr>
            <w:r>
              <w:t>1.0049</w:t>
            </w:r>
          </w:p>
        </w:tc>
        <w:tc>
          <w:tcPr>
            <w:tcW w:w="755" w:type="pct"/>
          </w:tcPr>
          <w:p w14:paraId="0FC1C45B" w14:textId="77777777" w:rsidR="003F0A64" w:rsidRDefault="003F0A64" w:rsidP="007C734C">
            <w:pPr>
              <w:pStyle w:val="Compact"/>
              <w:jc w:val="center"/>
            </w:pPr>
            <w:r>
              <w:t>0.0228</w:t>
            </w:r>
          </w:p>
        </w:tc>
        <w:tc>
          <w:tcPr>
            <w:tcW w:w="665" w:type="pct"/>
          </w:tcPr>
          <w:p w14:paraId="1796A3B7" w14:textId="77777777" w:rsidR="003F0A64" w:rsidRDefault="003F0A64" w:rsidP="007C734C">
            <w:pPr>
              <w:pStyle w:val="Compact"/>
              <w:jc w:val="center"/>
            </w:pPr>
            <w:r>
              <w:t>-0.0398</w:t>
            </w:r>
          </w:p>
        </w:tc>
        <w:tc>
          <w:tcPr>
            <w:tcW w:w="665" w:type="pct"/>
          </w:tcPr>
          <w:p w14:paraId="09134FFE" w14:textId="77777777" w:rsidR="003F0A64" w:rsidRDefault="003F0A64" w:rsidP="007C734C">
            <w:pPr>
              <w:pStyle w:val="Compact"/>
              <w:jc w:val="center"/>
            </w:pPr>
            <w:r>
              <w:t>0.0497</w:t>
            </w:r>
          </w:p>
        </w:tc>
      </w:tr>
      <w:tr w:rsidR="003F0A64" w14:paraId="0100B163" w14:textId="77777777" w:rsidTr="007C734C">
        <w:tc>
          <w:tcPr>
            <w:tcW w:w="1474" w:type="pct"/>
          </w:tcPr>
          <w:p w14:paraId="576D3C68" w14:textId="77777777" w:rsidR="003F0A64" w:rsidRDefault="003F0A64" w:rsidP="007C734C">
            <w:pPr>
              <w:pStyle w:val="Compact"/>
            </w:pPr>
            <w:r>
              <w:t>Treatment3</w:t>
            </w:r>
          </w:p>
        </w:tc>
        <w:tc>
          <w:tcPr>
            <w:tcW w:w="742" w:type="pct"/>
          </w:tcPr>
          <w:p w14:paraId="14B33388" w14:textId="77777777" w:rsidR="003F0A64" w:rsidRDefault="003F0A64" w:rsidP="007C734C">
            <w:pPr>
              <w:pStyle w:val="Compact"/>
              <w:jc w:val="center"/>
            </w:pPr>
            <w:r>
              <w:t>-0.3769</w:t>
            </w:r>
          </w:p>
        </w:tc>
        <w:tc>
          <w:tcPr>
            <w:tcW w:w="698" w:type="pct"/>
          </w:tcPr>
          <w:p w14:paraId="39CCA267" w14:textId="77777777" w:rsidR="003F0A64" w:rsidRDefault="003F0A64" w:rsidP="007C734C">
            <w:pPr>
              <w:pStyle w:val="Compact"/>
              <w:jc w:val="center"/>
            </w:pPr>
            <w:r>
              <w:t>0.6860</w:t>
            </w:r>
          </w:p>
        </w:tc>
        <w:tc>
          <w:tcPr>
            <w:tcW w:w="755" w:type="pct"/>
          </w:tcPr>
          <w:p w14:paraId="7A7F1385" w14:textId="77777777" w:rsidR="003F0A64" w:rsidRDefault="003F0A64" w:rsidP="007C734C">
            <w:pPr>
              <w:pStyle w:val="Compact"/>
              <w:jc w:val="center"/>
            </w:pPr>
            <w:r>
              <w:t>0.0250</w:t>
            </w:r>
          </w:p>
        </w:tc>
        <w:tc>
          <w:tcPr>
            <w:tcW w:w="665" w:type="pct"/>
          </w:tcPr>
          <w:p w14:paraId="781CC7CE" w14:textId="77777777" w:rsidR="003F0A64" w:rsidRDefault="003F0A64" w:rsidP="007C734C">
            <w:pPr>
              <w:pStyle w:val="Compact"/>
              <w:jc w:val="center"/>
            </w:pPr>
            <w:r>
              <w:t>-0.4259</w:t>
            </w:r>
          </w:p>
        </w:tc>
        <w:tc>
          <w:tcPr>
            <w:tcW w:w="665" w:type="pct"/>
          </w:tcPr>
          <w:p w14:paraId="032A18A9" w14:textId="77777777" w:rsidR="003F0A64" w:rsidRDefault="003F0A64" w:rsidP="007C734C">
            <w:pPr>
              <w:pStyle w:val="Compact"/>
              <w:jc w:val="center"/>
            </w:pPr>
            <w:r>
              <w:t>-0.3279</w:t>
            </w:r>
          </w:p>
        </w:tc>
      </w:tr>
      <w:tr w:rsidR="003F0A64" w14:paraId="5F4BC6E0" w14:textId="77777777" w:rsidTr="007C734C">
        <w:tc>
          <w:tcPr>
            <w:tcW w:w="1474" w:type="pct"/>
          </w:tcPr>
          <w:p w14:paraId="12A1D9F8" w14:textId="77777777" w:rsidR="003F0A64" w:rsidRDefault="003F0A64" w:rsidP="007C734C">
            <w:pPr>
              <w:pStyle w:val="Compact"/>
            </w:pPr>
            <w:r>
              <w:t>time60</w:t>
            </w:r>
          </w:p>
        </w:tc>
        <w:tc>
          <w:tcPr>
            <w:tcW w:w="742" w:type="pct"/>
          </w:tcPr>
          <w:p w14:paraId="6633AFA4" w14:textId="77777777" w:rsidR="003F0A64" w:rsidRDefault="003F0A64" w:rsidP="007C734C">
            <w:pPr>
              <w:pStyle w:val="Compact"/>
              <w:jc w:val="center"/>
            </w:pPr>
            <w:r>
              <w:t>-0.0197</w:t>
            </w:r>
          </w:p>
        </w:tc>
        <w:tc>
          <w:tcPr>
            <w:tcW w:w="698" w:type="pct"/>
          </w:tcPr>
          <w:p w14:paraId="67E60844" w14:textId="77777777" w:rsidR="003F0A64" w:rsidRDefault="003F0A64" w:rsidP="007C734C">
            <w:pPr>
              <w:pStyle w:val="Compact"/>
              <w:jc w:val="center"/>
            </w:pPr>
            <w:r>
              <w:t>0.9805</w:t>
            </w:r>
          </w:p>
        </w:tc>
        <w:tc>
          <w:tcPr>
            <w:tcW w:w="755" w:type="pct"/>
          </w:tcPr>
          <w:p w14:paraId="7ED7F503" w14:textId="77777777" w:rsidR="003F0A64" w:rsidRDefault="003F0A64" w:rsidP="007C734C">
            <w:pPr>
              <w:pStyle w:val="Compact"/>
              <w:jc w:val="center"/>
            </w:pPr>
            <w:r>
              <w:t>0.0234</w:t>
            </w:r>
          </w:p>
        </w:tc>
        <w:tc>
          <w:tcPr>
            <w:tcW w:w="665" w:type="pct"/>
          </w:tcPr>
          <w:p w14:paraId="3DDF6BE7" w14:textId="77777777" w:rsidR="003F0A64" w:rsidRDefault="003F0A64" w:rsidP="007C734C">
            <w:pPr>
              <w:pStyle w:val="Compact"/>
              <w:jc w:val="center"/>
            </w:pPr>
            <w:r>
              <w:t>-0.0655</w:t>
            </w:r>
          </w:p>
        </w:tc>
        <w:tc>
          <w:tcPr>
            <w:tcW w:w="665" w:type="pct"/>
          </w:tcPr>
          <w:p w14:paraId="3F3B417A" w14:textId="77777777" w:rsidR="003F0A64" w:rsidRDefault="003F0A64" w:rsidP="007C734C">
            <w:pPr>
              <w:pStyle w:val="Compact"/>
              <w:jc w:val="center"/>
            </w:pPr>
            <w:r>
              <w:t>0.0261</w:t>
            </w:r>
          </w:p>
        </w:tc>
      </w:tr>
      <w:tr w:rsidR="003F0A64" w14:paraId="63F315D9" w14:textId="77777777" w:rsidTr="007C734C">
        <w:tc>
          <w:tcPr>
            <w:tcW w:w="1474" w:type="pct"/>
          </w:tcPr>
          <w:p w14:paraId="79196C3E" w14:textId="77777777" w:rsidR="003F0A64" w:rsidRDefault="003F0A64" w:rsidP="007C734C">
            <w:pPr>
              <w:pStyle w:val="Compact"/>
            </w:pPr>
            <w:r>
              <w:t>ND0</w:t>
            </w:r>
          </w:p>
        </w:tc>
        <w:tc>
          <w:tcPr>
            <w:tcW w:w="742" w:type="pct"/>
          </w:tcPr>
          <w:p w14:paraId="5F5A83CD" w14:textId="77777777" w:rsidR="003F0A64" w:rsidRDefault="003F0A64" w:rsidP="007C734C">
            <w:pPr>
              <w:pStyle w:val="Compact"/>
              <w:jc w:val="center"/>
            </w:pPr>
            <w:r>
              <w:t>0.0081</w:t>
            </w:r>
          </w:p>
        </w:tc>
        <w:tc>
          <w:tcPr>
            <w:tcW w:w="698" w:type="pct"/>
          </w:tcPr>
          <w:p w14:paraId="2E7F444A" w14:textId="77777777" w:rsidR="003F0A64" w:rsidRDefault="003F0A64" w:rsidP="007C734C">
            <w:pPr>
              <w:pStyle w:val="Compact"/>
              <w:jc w:val="center"/>
            </w:pPr>
            <w:r>
              <w:t>1.0081</w:t>
            </w:r>
          </w:p>
        </w:tc>
        <w:tc>
          <w:tcPr>
            <w:tcW w:w="755" w:type="pct"/>
          </w:tcPr>
          <w:p w14:paraId="636B852D" w14:textId="77777777" w:rsidR="003F0A64" w:rsidRDefault="003F0A64" w:rsidP="007C734C">
            <w:pPr>
              <w:pStyle w:val="Compact"/>
              <w:jc w:val="center"/>
            </w:pPr>
            <w:r>
              <w:t>0.0001</w:t>
            </w:r>
          </w:p>
        </w:tc>
        <w:tc>
          <w:tcPr>
            <w:tcW w:w="665" w:type="pct"/>
          </w:tcPr>
          <w:p w14:paraId="2EE0F554" w14:textId="77777777" w:rsidR="003F0A64" w:rsidRDefault="003F0A64" w:rsidP="007C734C">
            <w:pPr>
              <w:pStyle w:val="Compact"/>
              <w:jc w:val="center"/>
            </w:pPr>
            <w:r>
              <w:t>0.0078</w:t>
            </w:r>
          </w:p>
        </w:tc>
        <w:tc>
          <w:tcPr>
            <w:tcW w:w="665" w:type="pct"/>
          </w:tcPr>
          <w:p w14:paraId="0730532A" w14:textId="77777777" w:rsidR="003F0A64" w:rsidRDefault="003F0A64" w:rsidP="007C734C">
            <w:pPr>
              <w:pStyle w:val="Compact"/>
              <w:jc w:val="center"/>
            </w:pPr>
            <w:r>
              <w:t>0.0083</w:t>
            </w:r>
          </w:p>
        </w:tc>
      </w:tr>
      <w:tr w:rsidR="003F0A64" w14:paraId="6D2CED7F" w14:textId="77777777" w:rsidTr="007C734C">
        <w:tc>
          <w:tcPr>
            <w:tcW w:w="1474" w:type="pct"/>
          </w:tcPr>
          <w:p w14:paraId="7F9A0A62" w14:textId="77777777" w:rsidR="003F0A64" w:rsidRDefault="003F0A64" w:rsidP="007C734C">
            <w:pPr>
              <w:pStyle w:val="Compact"/>
            </w:pPr>
            <w:r>
              <w:t>Treatment</w:t>
            </w:r>
            <w:proofErr w:type="gramStart"/>
            <w:r>
              <w:t>2:time</w:t>
            </w:r>
            <w:proofErr w:type="gramEnd"/>
            <w:r>
              <w:t>60</w:t>
            </w:r>
          </w:p>
        </w:tc>
        <w:tc>
          <w:tcPr>
            <w:tcW w:w="742" w:type="pct"/>
          </w:tcPr>
          <w:p w14:paraId="538D48A9" w14:textId="77777777" w:rsidR="003F0A64" w:rsidRDefault="003F0A64" w:rsidP="007C734C">
            <w:pPr>
              <w:pStyle w:val="Compact"/>
              <w:jc w:val="center"/>
            </w:pPr>
            <w:r>
              <w:t>-0.3733</w:t>
            </w:r>
          </w:p>
        </w:tc>
        <w:tc>
          <w:tcPr>
            <w:tcW w:w="698" w:type="pct"/>
          </w:tcPr>
          <w:p w14:paraId="6E296D5C" w14:textId="77777777" w:rsidR="003F0A64" w:rsidRDefault="003F0A64" w:rsidP="007C734C">
            <w:pPr>
              <w:pStyle w:val="Compact"/>
              <w:jc w:val="center"/>
            </w:pPr>
            <w:r>
              <w:t>0.6884</w:t>
            </w:r>
          </w:p>
        </w:tc>
        <w:tc>
          <w:tcPr>
            <w:tcW w:w="755" w:type="pct"/>
          </w:tcPr>
          <w:p w14:paraId="465546D3" w14:textId="77777777" w:rsidR="003F0A64" w:rsidRDefault="003F0A64" w:rsidP="007C734C">
            <w:pPr>
              <w:pStyle w:val="Compact"/>
              <w:jc w:val="center"/>
            </w:pPr>
            <w:r>
              <w:t>0.0320</w:t>
            </w:r>
          </w:p>
        </w:tc>
        <w:tc>
          <w:tcPr>
            <w:tcW w:w="665" w:type="pct"/>
          </w:tcPr>
          <w:p w14:paraId="508AF5C7" w14:textId="77777777" w:rsidR="003F0A64" w:rsidRDefault="003F0A64" w:rsidP="007C734C">
            <w:pPr>
              <w:pStyle w:val="Compact"/>
              <w:jc w:val="center"/>
            </w:pPr>
            <w:r>
              <w:t>-0.4360</w:t>
            </w:r>
          </w:p>
        </w:tc>
        <w:tc>
          <w:tcPr>
            <w:tcW w:w="665" w:type="pct"/>
          </w:tcPr>
          <w:p w14:paraId="7E03A70F" w14:textId="77777777" w:rsidR="003F0A64" w:rsidRDefault="003F0A64" w:rsidP="007C734C">
            <w:pPr>
              <w:pStyle w:val="Compact"/>
              <w:jc w:val="center"/>
            </w:pPr>
            <w:r>
              <w:t>-0.3106</w:t>
            </w:r>
          </w:p>
        </w:tc>
      </w:tr>
      <w:tr w:rsidR="003F0A64" w14:paraId="2F44CBD1" w14:textId="77777777" w:rsidTr="007C734C">
        <w:tc>
          <w:tcPr>
            <w:tcW w:w="1474" w:type="pct"/>
            <w:tcBorders>
              <w:bottom w:val="single" w:sz="4" w:space="0" w:color="auto"/>
            </w:tcBorders>
          </w:tcPr>
          <w:p w14:paraId="6FA0157F" w14:textId="77777777" w:rsidR="003F0A64" w:rsidRDefault="003F0A64" w:rsidP="007C734C">
            <w:pPr>
              <w:pStyle w:val="Compact"/>
            </w:pPr>
            <w:r>
              <w:lastRenderedPageBreak/>
              <w:t>Treatment</w:t>
            </w:r>
            <w:proofErr w:type="gramStart"/>
            <w:r>
              <w:t>3:time</w:t>
            </w:r>
            <w:proofErr w:type="gramEnd"/>
            <w:r>
              <w:t>60</w:t>
            </w:r>
          </w:p>
        </w:tc>
        <w:tc>
          <w:tcPr>
            <w:tcW w:w="742" w:type="pct"/>
            <w:tcBorders>
              <w:bottom w:val="single" w:sz="4" w:space="0" w:color="auto"/>
            </w:tcBorders>
          </w:tcPr>
          <w:p w14:paraId="6B65ACC9" w14:textId="77777777" w:rsidR="003F0A64" w:rsidRDefault="003F0A64" w:rsidP="007C734C">
            <w:pPr>
              <w:pStyle w:val="Compact"/>
              <w:jc w:val="center"/>
            </w:pPr>
            <w:r>
              <w:t>0.0048</w:t>
            </w:r>
          </w:p>
        </w:tc>
        <w:tc>
          <w:tcPr>
            <w:tcW w:w="698" w:type="pct"/>
            <w:tcBorders>
              <w:bottom w:val="single" w:sz="4" w:space="0" w:color="auto"/>
            </w:tcBorders>
          </w:tcPr>
          <w:p w14:paraId="36A27A67" w14:textId="77777777" w:rsidR="003F0A64" w:rsidRDefault="003F0A64" w:rsidP="007C734C">
            <w:pPr>
              <w:pStyle w:val="Compact"/>
              <w:jc w:val="center"/>
            </w:pPr>
            <w:r>
              <w:t>1.0048</w:t>
            </w:r>
          </w:p>
        </w:tc>
        <w:tc>
          <w:tcPr>
            <w:tcW w:w="755" w:type="pct"/>
            <w:tcBorders>
              <w:bottom w:val="single" w:sz="4" w:space="0" w:color="auto"/>
            </w:tcBorders>
          </w:tcPr>
          <w:p w14:paraId="123EA41A" w14:textId="77777777" w:rsidR="003F0A64" w:rsidRDefault="003F0A64" w:rsidP="007C734C">
            <w:pPr>
              <w:pStyle w:val="Compact"/>
              <w:jc w:val="center"/>
            </w:pPr>
            <w:r>
              <w:t>0.0341</w:t>
            </w:r>
          </w:p>
        </w:tc>
        <w:tc>
          <w:tcPr>
            <w:tcW w:w="665" w:type="pct"/>
            <w:tcBorders>
              <w:bottom w:val="single" w:sz="4" w:space="0" w:color="auto"/>
            </w:tcBorders>
          </w:tcPr>
          <w:p w14:paraId="082A3564" w14:textId="77777777" w:rsidR="003F0A64" w:rsidRDefault="003F0A64" w:rsidP="007C734C">
            <w:pPr>
              <w:pStyle w:val="Compact"/>
              <w:jc w:val="center"/>
            </w:pPr>
            <w:r>
              <w:t>-0.0620</w:t>
            </w:r>
          </w:p>
        </w:tc>
        <w:tc>
          <w:tcPr>
            <w:tcW w:w="665" w:type="pct"/>
            <w:tcBorders>
              <w:bottom w:val="single" w:sz="4" w:space="0" w:color="auto"/>
            </w:tcBorders>
          </w:tcPr>
          <w:p w14:paraId="564EFCCB" w14:textId="77777777" w:rsidR="003F0A64" w:rsidRDefault="003F0A64" w:rsidP="007C734C">
            <w:pPr>
              <w:pStyle w:val="Compact"/>
              <w:jc w:val="center"/>
            </w:pPr>
            <w:r>
              <w:t>0.0716</w:t>
            </w:r>
          </w:p>
        </w:tc>
      </w:tr>
    </w:tbl>
    <w:p w14:paraId="7D4BE31E" w14:textId="77777777" w:rsidR="003F0A64" w:rsidRDefault="003F0A64" w:rsidP="003F0A64">
      <w:pPr>
        <w:pStyle w:val="Caption"/>
        <w:jc w:val="left"/>
      </w:pPr>
      <w:r>
        <w:t>CIL indicates lower bound of 95% confidence interval and CIU indicates upper bound of 95% confidence interval</w:t>
      </w:r>
    </w:p>
    <w:p w14:paraId="6D0F1C83" w14:textId="77777777" w:rsidR="003F0A64" w:rsidRDefault="003F0A64" w:rsidP="003F0A64">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Results of Model 4</w:t>
      </w:r>
    </w:p>
    <w:tbl>
      <w:tblPr>
        <w:tblStyle w:val="Table"/>
        <w:tblW w:w="5000" w:type="pct"/>
        <w:tblLook w:val="07E0" w:firstRow="1" w:lastRow="1" w:firstColumn="1" w:lastColumn="1" w:noHBand="1" w:noVBand="1"/>
      </w:tblPr>
      <w:tblGrid>
        <w:gridCol w:w="2184"/>
        <w:gridCol w:w="1625"/>
        <w:gridCol w:w="1391"/>
        <w:gridCol w:w="1655"/>
        <w:gridCol w:w="1344"/>
        <w:gridCol w:w="1161"/>
      </w:tblGrid>
      <w:tr w:rsidR="003F0A64" w:rsidRPr="00B75059" w14:paraId="6E5B6CB8" w14:textId="77777777" w:rsidTr="007C734C">
        <w:tc>
          <w:tcPr>
            <w:tcW w:w="1167" w:type="pct"/>
            <w:tcBorders>
              <w:top w:val="single" w:sz="4" w:space="0" w:color="auto"/>
              <w:left w:val="nil"/>
              <w:bottom w:val="single" w:sz="2" w:space="0" w:color="auto"/>
              <w:right w:val="nil"/>
            </w:tcBorders>
            <w:vAlign w:val="bottom"/>
          </w:tcPr>
          <w:p w14:paraId="77C5C699" w14:textId="77777777" w:rsidR="003F0A64" w:rsidRDefault="003F0A64" w:rsidP="007C734C">
            <w:pPr>
              <w:pStyle w:val="Compact"/>
            </w:pPr>
          </w:p>
        </w:tc>
        <w:tc>
          <w:tcPr>
            <w:tcW w:w="868" w:type="pct"/>
            <w:tcBorders>
              <w:top w:val="single" w:sz="4" w:space="0" w:color="auto"/>
              <w:left w:val="nil"/>
              <w:bottom w:val="single" w:sz="2" w:space="0" w:color="auto"/>
              <w:right w:val="nil"/>
            </w:tcBorders>
            <w:vAlign w:val="bottom"/>
            <w:hideMark/>
          </w:tcPr>
          <w:p w14:paraId="7960C2E8" w14:textId="77777777" w:rsidR="003F0A64" w:rsidRDefault="003F0A64" w:rsidP="007C734C">
            <w:pPr>
              <w:pStyle w:val="Compact"/>
              <w:jc w:val="center"/>
            </w:pPr>
            <w:r>
              <w:t>Estimate</w:t>
            </w:r>
          </w:p>
        </w:tc>
        <w:tc>
          <w:tcPr>
            <w:tcW w:w="743" w:type="pct"/>
            <w:tcBorders>
              <w:top w:val="single" w:sz="4" w:space="0" w:color="auto"/>
              <w:left w:val="nil"/>
              <w:bottom w:val="single" w:sz="2" w:space="0" w:color="auto"/>
              <w:right w:val="nil"/>
            </w:tcBorders>
            <w:vAlign w:val="bottom"/>
            <w:hideMark/>
          </w:tcPr>
          <w:p w14:paraId="10222AB5" w14:textId="77777777" w:rsidR="003F0A64" w:rsidRDefault="003F0A64" w:rsidP="007C734C">
            <w:pPr>
              <w:pStyle w:val="Compact"/>
              <w:jc w:val="center"/>
            </w:pPr>
            <w:proofErr w:type="spellStart"/>
            <w:r>
              <w:t>Exp.Est</w:t>
            </w:r>
            <w:proofErr w:type="spellEnd"/>
          </w:p>
        </w:tc>
        <w:tc>
          <w:tcPr>
            <w:tcW w:w="884" w:type="pct"/>
            <w:tcBorders>
              <w:top w:val="single" w:sz="4" w:space="0" w:color="auto"/>
              <w:left w:val="nil"/>
              <w:bottom w:val="single" w:sz="2" w:space="0" w:color="auto"/>
              <w:right w:val="nil"/>
            </w:tcBorders>
            <w:vAlign w:val="bottom"/>
            <w:hideMark/>
          </w:tcPr>
          <w:p w14:paraId="09CD0EF0" w14:textId="77777777" w:rsidR="003F0A64" w:rsidRDefault="003F0A64" w:rsidP="007C734C">
            <w:pPr>
              <w:pStyle w:val="Compact"/>
              <w:jc w:val="center"/>
            </w:pPr>
            <w:proofErr w:type="spellStart"/>
            <w:r>
              <w:t>Std.Error</w:t>
            </w:r>
            <w:proofErr w:type="spellEnd"/>
          </w:p>
        </w:tc>
        <w:tc>
          <w:tcPr>
            <w:tcW w:w="718" w:type="pct"/>
            <w:tcBorders>
              <w:top w:val="single" w:sz="4" w:space="0" w:color="auto"/>
              <w:left w:val="nil"/>
              <w:bottom w:val="single" w:sz="2" w:space="0" w:color="auto"/>
              <w:right w:val="nil"/>
            </w:tcBorders>
            <w:vAlign w:val="bottom"/>
            <w:hideMark/>
          </w:tcPr>
          <w:p w14:paraId="1AC2D4F9" w14:textId="77777777" w:rsidR="003F0A64" w:rsidRDefault="003F0A64" w:rsidP="007C734C">
            <w:pPr>
              <w:pStyle w:val="Compact"/>
              <w:jc w:val="center"/>
            </w:pPr>
            <w:r>
              <w:t>CIL</w:t>
            </w:r>
          </w:p>
        </w:tc>
        <w:tc>
          <w:tcPr>
            <w:tcW w:w="620" w:type="pct"/>
            <w:tcBorders>
              <w:top w:val="single" w:sz="4" w:space="0" w:color="auto"/>
              <w:left w:val="nil"/>
              <w:bottom w:val="single" w:sz="2" w:space="0" w:color="auto"/>
              <w:right w:val="nil"/>
            </w:tcBorders>
            <w:vAlign w:val="bottom"/>
            <w:hideMark/>
          </w:tcPr>
          <w:p w14:paraId="3F710862" w14:textId="77777777" w:rsidR="003F0A64" w:rsidRDefault="003F0A64" w:rsidP="007C734C">
            <w:pPr>
              <w:pStyle w:val="Compact"/>
              <w:jc w:val="center"/>
            </w:pPr>
            <w:r>
              <w:t>CIU</w:t>
            </w:r>
          </w:p>
        </w:tc>
      </w:tr>
      <w:tr w:rsidR="003F0A64" w14:paraId="2EC37951" w14:textId="77777777" w:rsidTr="007C734C">
        <w:tc>
          <w:tcPr>
            <w:tcW w:w="1167" w:type="pct"/>
            <w:hideMark/>
          </w:tcPr>
          <w:p w14:paraId="4466B5DF" w14:textId="77777777" w:rsidR="003F0A64" w:rsidRDefault="003F0A64" w:rsidP="007C734C">
            <w:pPr>
              <w:pStyle w:val="Compact"/>
            </w:pPr>
            <w:r>
              <w:t>(Intercept)</w:t>
            </w:r>
          </w:p>
        </w:tc>
        <w:tc>
          <w:tcPr>
            <w:tcW w:w="868" w:type="pct"/>
            <w:hideMark/>
          </w:tcPr>
          <w:p w14:paraId="335BFC90" w14:textId="77777777" w:rsidR="003F0A64" w:rsidRDefault="003F0A64" w:rsidP="007C734C">
            <w:pPr>
              <w:pStyle w:val="Compact"/>
              <w:jc w:val="center"/>
            </w:pPr>
            <w:r>
              <w:t>4.2110</w:t>
            </w:r>
          </w:p>
        </w:tc>
        <w:tc>
          <w:tcPr>
            <w:tcW w:w="743" w:type="pct"/>
            <w:hideMark/>
          </w:tcPr>
          <w:p w14:paraId="6AF4DDE7" w14:textId="77777777" w:rsidR="003F0A64" w:rsidRDefault="003F0A64" w:rsidP="007C734C">
            <w:pPr>
              <w:pStyle w:val="Compact"/>
              <w:jc w:val="center"/>
            </w:pPr>
            <w:r>
              <w:t>67.427</w:t>
            </w:r>
          </w:p>
        </w:tc>
        <w:tc>
          <w:tcPr>
            <w:tcW w:w="884" w:type="pct"/>
            <w:hideMark/>
          </w:tcPr>
          <w:p w14:paraId="4EF1CC98" w14:textId="77777777" w:rsidR="003F0A64" w:rsidRDefault="003F0A64" w:rsidP="007C734C">
            <w:pPr>
              <w:pStyle w:val="Compact"/>
              <w:jc w:val="center"/>
            </w:pPr>
            <w:r>
              <w:t>0.0102</w:t>
            </w:r>
          </w:p>
        </w:tc>
        <w:tc>
          <w:tcPr>
            <w:tcW w:w="718" w:type="pct"/>
            <w:hideMark/>
          </w:tcPr>
          <w:p w14:paraId="2D42CFCB" w14:textId="77777777" w:rsidR="003F0A64" w:rsidRDefault="003F0A64" w:rsidP="007C734C">
            <w:pPr>
              <w:pStyle w:val="Compact"/>
              <w:jc w:val="center"/>
            </w:pPr>
            <w:r>
              <w:t>4.1910</w:t>
            </w:r>
          </w:p>
        </w:tc>
        <w:tc>
          <w:tcPr>
            <w:tcW w:w="620" w:type="pct"/>
            <w:hideMark/>
          </w:tcPr>
          <w:p w14:paraId="772A59C9" w14:textId="77777777" w:rsidR="003F0A64" w:rsidRDefault="003F0A64" w:rsidP="007C734C">
            <w:pPr>
              <w:pStyle w:val="Compact"/>
              <w:jc w:val="center"/>
            </w:pPr>
            <w:r>
              <w:t>4.231</w:t>
            </w:r>
          </w:p>
        </w:tc>
      </w:tr>
      <w:tr w:rsidR="003F0A64" w14:paraId="2CE14C49" w14:textId="77777777" w:rsidTr="007C734C">
        <w:tc>
          <w:tcPr>
            <w:tcW w:w="1167" w:type="pct"/>
            <w:tcBorders>
              <w:bottom w:val="single" w:sz="4" w:space="0" w:color="auto"/>
            </w:tcBorders>
            <w:hideMark/>
          </w:tcPr>
          <w:p w14:paraId="1C11F7AA" w14:textId="77777777" w:rsidR="003F0A64" w:rsidRDefault="003F0A64" w:rsidP="007C734C">
            <w:pPr>
              <w:pStyle w:val="Compact"/>
            </w:pPr>
            <w:proofErr w:type="spellStart"/>
            <w:r>
              <w:t>GenderMale</w:t>
            </w:r>
            <w:proofErr w:type="spellEnd"/>
          </w:p>
        </w:tc>
        <w:tc>
          <w:tcPr>
            <w:tcW w:w="868" w:type="pct"/>
            <w:tcBorders>
              <w:bottom w:val="single" w:sz="4" w:space="0" w:color="auto"/>
            </w:tcBorders>
            <w:hideMark/>
          </w:tcPr>
          <w:p w14:paraId="7856E30F" w14:textId="77777777" w:rsidR="003F0A64" w:rsidRDefault="003F0A64" w:rsidP="007C734C">
            <w:pPr>
              <w:pStyle w:val="Compact"/>
              <w:jc w:val="center"/>
            </w:pPr>
            <w:r>
              <w:t>0.9975</w:t>
            </w:r>
          </w:p>
        </w:tc>
        <w:tc>
          <w:tcPr>
            <w:tcW w:w="743" w:type="pct"/>
            <w:tcBorders>
              <w:bottom w:val="single" w:sz="4" w:space="0" w:color="auto"/>
            </w:tcBorders>
            <w:hideMark/>
          </w:tcPr>
          <w:p w14:paraId="3851C065" w14:textId="77777777" w:rsidR="003F0A64" w:rsidRDefault="003F0A64" w:rsidP="007C734C">
            <w:pPr>
              <w:pStyle w:val="Compact"/>
              <w:jc w:val="center"/>
            </w:pPr>
            <w:r>
              <w:t>2.712</w:t>
            </w:r>
          </w:p>
        </w:tc>
        <w:tc>
          <w:tcPr>
            <w:tcW w:w="884" w:type="pct"/>
            <w:tcBorders>
              <w:bottom w:val="single" w:sz="4" w:space="0" w:color="auto"/>
            </w:tcBorders>
            <w:hideMark/>
          </w:tcPr>
          <w:p w14:paraId="334EA59A" w14:textId="77777777" w:rsidR="003F0A64" w:rsidRDefault="003F0A64" w:rsidP="007C734C">
            <w:pPr>
              <w:pStyle w:val="Compact"/>
              <w:jc w:val="center"/>
            </w:pPr>
            <w:r>
              <w:t>0.0116</w:t>
            </w:r>
          </w:p>
        </w:tc>
        <w:tc>
          <w:tcPr>
            <w:tcW w:w="718" w:type="pct"/>
            <w:tcBorders>
              <w:bottom w:val="single" w:sz="4" w:space="0" w:color="auto"/>
            </w:tcBorders>
            <w:hideMark/>
          </w:tcPr>
          <w:p w14:paraId="6B33E6A6" w14:textId="77777777" w:rsidR="003F0A64" w:rsidRDefault="003F0A64" w:rsidP="007C734C">
            <w:pPr>
              <w:pStyle w:val="Compact"/>
              <w:jc w:val="center"/>
            </w:pPr>
            <w:r>
              <w:t>0.9747</w:t>
            </w:r>
          </w:p>
        </w:tc>
        <w:tc>
          <w:tcPr>
            <w:tcW w:w="620" w:type="pct"/>
            <w:tcBorders>
              <w:bottom w:val="single" w:sz="4" w:space="0" w:color="auto"/>
            </w:tcBorders>
            <w:hideMark/>
          </w:tcPr>
          <w:p w14:paraId="4124691D" w14:textId="77777777" w:rsidR="003F0A64" w:rsidRDefault="003F0A64" w:rsidP="007C734C">
            <w:pPr>
              <w:pStyle w:val="Compact"/>
              <w:jc w:val="center"/>
            </w:pPr>
            <w:r>
              <w:t>1.020</w:t>
            </w:r>
          </w:p>
        </w:tc>
      </w:tr>
    </w:tbl>
    <w:p w14:paraId="5A3862B0" w14:textId="77777777" w:rsidR="003F0A64" w:rsidRDefault="003F0A64" w:rsidP="003F0A64">
      <w:pPr>
        <w:pStyle w:val="Caption"/>
        <w:jc w:val="left"/>
      </w:pPr>
      <w:r>
        <w:t>CIL indicates lower bound of 95% confidence interval and CIU indicates upper bound of 95% confidence interval</w:t>
      </w:r>
    </w:p>
    <w:p w14:paraId="79C1BF2C" w14:textId="77777777" w:rsidR="003F0A64" w:rsidRDefault="003F0A64" w:rsidP="003F0A64">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Results of Model 5</w:t>
      </w:r>
    </w:p>
    <w:tbl>
      <w:tblPr>
        <w:tblStyle w:val="Table"/>
        <w:tblW w:w="5000" w:type="pct"/>
        <w:tblLook w:val="07E0" w:firstRow="1" w:lastRow="1" w:firstColumn="1" w:lastColumn="1" w:noHBand="1" w:noVBand="1"/>
      </w:tblPr>
      <w:tblGrid>
        <w:gridCol w:w="3211"/>
        <w:gridCol w:w="1294"/>
        <w:gridCol w:w="1219"/>
        <w:gridCol w:w="1316"/>
        <w:gridCol w:w="1161"/>
        <w:gridCol w:w="1159"/>
      </w:tblGrid>
      <w:tr w:rsidR="003F0A64" w:rsidRPr="00B75059" w14:paraId="18234762" w14:textId="77777777" w:rsidTr="007C734C">
        <w:tc>
          <w:tcPr>
            <w:tcW w:w="1715" w:type="pct"/>
            <w:tcBorders>
              <w:top w:val="single" w:sz="4" w:space="0" w:color="auto"/>
              <w:left w:val="nil"/>
              <w:bottom w:val="single" w:sz="2" w:space="0" w:color="auto"/>
              <w:right w:val="nil"/>
            </w:tcBorders>
            <w:vAlign w:val="bottom"/>
          </w:tcPr>
          <w:p w14:paraId="18CFE5E9" w14:textId="77777777" w:rsidR="003F0A64" w:rsidRDefault="003F0A64" w:rsidP="007C734C">
            <w:pPr>
              <w:pStyle w:val="Compact"/>
            </w:pPr>
          </w:p>
        </w:tc>
        <w:tc>
          <w:tcPr>
            <w:tcW w:w="691" w:type="pct"/>
            <w:tcBorders>
              <w:top w:val="single" w:sz="4" w:space="0" w:color="auto"/>
              <w:left w:val="nil"/>
              <w:bottom w:val="single" w:sz="2" w:space="0" w:color="auto"/>
              <w:right w:val="nil"/>
            </w:tcBorders>
            <w:vAlign w:val="bottom"/>
            <w:hideMark/>
          </w:tcPr>
          <w:p w14:paraId="7AB3D6E9" w14:textId="77777777" w:rsidR="003F0A64" w:rsidRDefault="003F0A64" w:rsidP="007C734C">
            <w:pPr>
              <w:pStyle w:val="Compact"/>
              <w:jc w:val="center"/>
            </w:pPr>
            <w:r>
              <w:t>Estimate</w:t>
            </w:r>
          </w:p>
        </w:tc>
        <w:tc>
          <w:tcPr>
            <w:tcW w:w="651" w:type="pct"/>
            <w:tcBorders>
              <w:top w:val="single" w:sz="4" w:space="0" w:color="auto"/>
              <w:left w:val="nil"/>
              <w:bottom w:val="single" w:sz="2" w:space="0" w:color="auto"/>
              <w:right w:val="nil"/>
            </w:tcBorders>
            <w:vAlign w:val="bottom"/>
            <w:hideMark/>
          </w:tcPr>
          <w:p w14:paraId="60489C7B" w14:textId="77777777" w:rsidR="003F0A64" w:rsidRDefault="003F0A64" w:rsidP="007C734C">
            <w:pPr>
              <w:pStyle w:val="Compact"/>
              <w:jc w:val="center"/>
            </w:pPr>
            <w:proofErr w:type="spellStart"/>
            <w:r>
              <w:t>Exp.Est</w:t>
            </w:r>
            <w:proofErr w:type="spellEnd"/>
          </w:p>
        </w:tc>
        <w:tc>
          <w:tcPr>
            <w:tcW w:w="703" w:type="pct"/>
            <w:tcBorders>
              <w:top w:val="single" w:sz="4" w:space="0" w:color="auto"/>
              <w:left w:val="nil"/>
              <w:bottom w:val="single" w:sz="2" w:space="0" w:color="auto"/>
              <w:right w:val="nil"/>
            </w:tcBorders>
            <w:vAlign w:val="bottom"/>
            <w:hideMark/>
          </w:tcPr>
          <w:p w14:paraId="5CA813FE" w14:textId="77777777" w:rsidR="003F0A64" w:rsidRDefault="003F0A64" w:rsidP="007C734C">
            <w:pPr>
              <w:pStyle w:val="Compact"/>
              <w:jc w:val="center"/>
            </w:pPr>
            <w:proofErr w:type="spellStart"/>
            <w:r>
              <w:t>Std.Error</w:t>
            </w:r>
            <w:proofErr w:type="spellEnd"/>
          </w:p>
        </w:tc>
        <w:tc>
          <w:tcPr>
            <w:tcW w:w="620" w:type="pct"/>
            <w:tcBorders>
              <w:top w:val="single" w:sz="4" w:space="0" w:color="auto"/>
              <w:left w:val="nil"/>
              <w:bottom w:val="single" w:sz="2" w:space="0" w:color="auto"/>
              <w:right w:val="nil"/>
            </w:tcBorders>
            <w:vAlign w:val="bottom"/>
            <w:hideMark/>
          </w:tcPr>
          <w:p w14:paraId="3713D409" w14:textId="77777777" w:rsidR="003F0A64" w:rsidRDefault="003F0A64" w:rsidP="007C734C">
            <w:pPr>
              <w:pStyle w:val="Compact"/>
              <w:jc w:val="center"/>
            </w:pPr>
            <w:r>
              <w:t>CIL</w:t>
            </w:r>
          </w:p>
        </w:tc>
        <w:tc>
          <w:tcPr>
            <w:tcW w:w="619" w:type="pct"/>
            <w:tcBorders>
              <w:top w:val="single" w:sz="4" w:space="0" w:color="auto"/>
              <w:left w:val="nil"/>
              <w:bottom w:val="single" w:sz="2" w:space="0" w:color="auto"/>
              <w:right w:val="nil"/>
            </w:tcBorders>
            <w:vAlign w:val="bottom"/>
            <w:hideMark/>
          </w:tcPr>
          <w:p w14:paraId="0EBA322B" w14:textId="77777777" w:rsidR="003F0A64" w:rsidRDefault="003F0A64" w:rsidP="007C734C">
            <w:pPr>
              <w:pStyle w:val="Compact"/>
              <w:jc w:val="center"/>
            </w:pPr>
            <w:r>
              <w:t>CIU</w:t>
            </w:r>
          </w:p>
        </w:tc>
      </w:tr>
      <w:tr w:rsidR="003F0A64" w14:paraId="06028879" w14:textId="77777777" w:rsidTr="007C734C">
        <w:tc>
          <w:tcPr>
            <w:tcW w:w="1715" w:type="pct"/>
            <w:hideMark/>
          </w:tcPr>
          <w:p w14:paraId="1C763114" w14:textId="77777777" w:rsidR="003F0A64" w:rsidRDefault="003F0A64" w:rsidP="007C734C">
            <w:pPr>
              <w:pStyle w:val="Compact"/>
            </w:pPr>
            <w:r>
              <w:t>(Intercept)</w:t>
            </w:r>
          </w:p>
        </w:tc>
        <w:tc>
          <w:tcPr>
            <w:tcW w:w="691" w:type="pct"/>
            <w:hideMark/>
          </w:tcPr>
          <w:p w14:paraId="7D4581C3" w14:textId="77777777" w:rsidR="003F0A64" w:rsidRDefault="003F0A64" w:rsidP="007C734C">
            <w:pPr>
              <w:pStyle w:val="Compact"/>
              <w:jc w:val="center"/>
            </w:pPr>
            <w:r>
              <w:t>3.5519</w:t>
            </w:r>
          </w:p>
        </w:tc>
        <w:tc>
          <w:tcPr>
            <w:tcW w:w="651" w:type="pct"/>
            <w:hideMark/>
          </w:tcPr>
          <w:p w14:paraId="6E900A33" w14:textId="77777777" w:rsidR="003F0A64" w:rsidRDefault="003F0A64" w:rsidP="007C734C">
            <w:pPr>
              <w:pStyle w:val="Compact"/>
              <w:jc w:val="center"/>
            </w:pPr>
            <w:r>
              <w:t>34.8811</w:t>
            </w:r>
          </w:p>
        </w:tc>
        <w:tc>
          <w:tcPr>
            <w:tcW w:w="703" w:type="pct"/>
            <w:hideMark/>
          </w:tcPr>
          <w:p w14:paraId="26E44A2E" w14:textId="77777777" w:rsidR="003F0A64" w:rsidRDefault="003F0A64" w:rsidP="007C734C">
            <w:pPr>
              <w:pStyle w:val="Compact"/>
              <w:jc w:val="center"/>
            </w:pPr>
            <w:r>
              <w:t>0.0246</w:t>
            </w:r>
          </w:p>
        </w:tc>
        <w:tc>
          <w:tcPr>
            <w:tcW w:w="620" w:type="pct"/>
            <w:hideMark/>
          </w:tcPr>
          <w:p w14:paraId="1EFE7FBC" w14:textId="77777777" w:rsidR="003F0A64" w:rsidRDefault="003F0A64" w:rsidP="007C734C">
            <w:pPr>
              <w:pStyle w:val="Compact"/>
              <w:jc w:val="center"/>
            </w:pPr>
            <w:r>
              <w:t>3.5036</w:t>
            </w:r>
          </w:p>
        </w:tc>
        <w:tc>
          <w:tcPr>
            <w:tcW w:w="619" w:type="pct"/>
            <w:hideMark/>
          </w:tcPr>
          <w:p w14:paraId="24770B8B" w14:textId="77777777" w:rsidR="003F0A64" w:rsidRDefault="003F0A64" w:rsidP="007C734C">
            <w:pPr>
              <w:pStyle w:val="Compact"/>
              <w:jc w:val="center"/>
            </w:pPr>
            <w:r>
              <w:t>3.6003</w:t>
            </w:r>
          </w:p>
        </w:tc>
      </w:tr>
      <w:tr w:rsidR="003F0A64" w14:paraId="5A85994B" w14:textId="77777777" w:rsidTr="007C734C">
        <w:tc>
          <w:tcPr>
            <w:tcW w:w="1715" w:type="pct"/>
            <w:hideMark/>
          </w:tcPr>
          <w:p w14:paraId="2A3A4D8B" w14:textId="77777777" w:rsidR="003F0A64" w:rsidRDefault="003F0A64" w:rsidP="007C734C">
            <w:pPr>
              <w:pStyle w:val="Compact"/>
            </w:pPr>
            <w:r>
              <w:t>Treatment2</w:t>
            </w:r>
          </w:p>
        </w:tc>
        <w:tc>
          <w:tcPr>
            <w:tcW w:w="691" w:type="pct"/>
            <w:hideMark/>
          </w:tcPr>
          <w:p w14:paraId="19BDA132" w14:textId="77777777" w:rsidR="003F0A64" w:rsidRDefault="003F0A64" w:rsidP="007C734C">
            <w:pPr>
              <w:pStyle w:val="Compact"/>
              <w:jc w:val="center"/>
            </w:pPr>
            <w:r>
              <w:t>-0.0656</w:t>
            </w:r>
          </w:p>
        </w:tc>
        <w:tc>
          <w:tcPr>
            <w:tcW w:w="651" w:type="pct"/>
            <w:hideMark/>
          </w:tcPr>
          <w:p w14:paraId="1ADDAA85" w14:textId="77777777" w:rsidR="003F0A64" w:rsidRDefault="003F0A64" w:rsidP="007C734C">
            <w:pPr>
              <w:pStyle w:val="Compact"/>
              <w:jc w:val="center"/>
            </w:pPr>
            <w:r>
              <w:t>0.9365</w:t>
            </w:r>
          </w:p>
        </w:tc>
        <w:tc>
          <w:tcPr>
            <w:tcW w:w="703" w:type="pct"/>
            <w:hideMark/>
          </w:tcPr>
          <w:p w14:paraId="44E3825D" w14:textId="77777777" w:rsidR="003F0A64" w:rsidRDefault="003F0A64" w:rsidP="007C734C">
            <w:pPr>
              <w:pStyle w:val="Compact"/>
              <w:jc w:val="center"/>
            </w:pPr>
            <w:r>
              <w:t>0.0264</w:t>
            </w:r>
          </w:p>
        </w:tc>
        <w:tc>
          <w:tcPr>
            <w:tcW w:w="620" w:type="pct"/>
            <w:hideMark/>
          </w:tcPr>
          <w:p w14:paraId="670CFFA7" w14:textId="77777777" w:rsidR="003F0A64" w:rsidRDefault="003F0A64" w:rsidP="007C734C">
            <w:pPr>
              <w:pStyle w:val="Compact"/>
              <w:jc w:val="center"/>
            </w:pPr>
            <w:r>
              <w:t>-0.1174</w:t>
            </w:r>
          </w:p>
        </w:tc>
        <w:tc>
          <w:tcPr>
            <w:tcW w:w="619" w:type="pct"/>
            <w:hideMark/>
          </w:tcPr>
          <w:p w14:paraId="78B889A6" w14:textId="77777777" w:rsidR="003F0A64" w:rsidRDefault="003F0A64" w:rsidP="007C734C">
            <w:pPr>
              <w:pStyle w:val="Compact"/>
              <w:jc w:val="center"/>
            </w:pPr>
            <w:r>
              <w:t>-0.0139</w:t>
            </w:r>
          </w:p>
        </w:tc>
      </w:tr>
      <w:tr w:rsidR="003F0A64" w14:paraId="4CFEC49B" w14:textId="77777777" w:rsidTr="007C734C">
        <w:tc>
          <w:tcPr>
            <w:tcW w:w="1715" w:type="pct"/>
            <w:hideMark/>
          </w:tcPr>
          <w:p w14:paraId="5256B2FA" w14:textId="77777777" w:rsidR="003F0A64" w:rsidRDefault="003F0A64" w:rsidP="007C734C">
            <w:pPr>
              <w:pStyle w:val="Compact"/>
            </w:pPr>
            <w:r>
              <w:t>Treatment3</w:t>
            </w:r>
          </w:p>
        </w:tc>
        <w:tc>
          <w:tcPr>
            <w:tcW w:w="691" w:type="pct"/>
            <w:hideMark/>
          </w:tcPr>
          <w:p w14:paraId="631D0DC4" w14:textId="77777777" w:rsidR="003F0A64" w:rsidRDefault="003F0A64" w:rsidP="007C734C">
            <w:pPr>
              <w:pStyle w:val="Compact"/>
              <w:jc w:val="center"/>
            </w:pPr>
            <w:r>
              <w:t>-0.4247</w:t>
            </w:r>
          </w:p>
        </w:tc>
        <w:tc>
          <w:tcPr>
            <w:tcW w:w="651" w:type="pct"/>
            <w:hideMark/>
          </w:tcPr>
          <w:p w14:paraId="6CA5F616" w14:textId="77777777" w:rsidR="003F0A64" w:rsidRDefault="003F0A64" w:rsidP="007C734C">
            <w:pPr>
              <w:pStyle w:val="Compact"/>
              <w:jc w:val="center"/>
            </w:pPr>
            <w:r>
              <w:t>0.6539</w:t>
            </w:r>
          </w:p>
        </w:tc>
        <w:tc>
          <w:tcPr>
            <w:tcW w:w="703" w:type="pct"/>
            <w:hideMark/>
          </w:tcPr>
          <w:p w14:paraId="35DE9AAF" w14:textId="77777777" w:rsidR="003F0A64" w:rsidRDefault="003F0A64" w:rsidP="007C734C">
            <w:pPr>
              <w:pStyle w:val="Compact"/>
              <w:jc w:val="center"/>
            </w:pPr>
            <w:r>
              <w:t>0.0287</w:t>
            </w:r>
          </w:p>
        </w:tc>
        <w:tc>
          <w:tcPr>
            <w:tcW w:w="620" w:type="pct"/>
            <w:hideMark/>
          </w:tcPr>
          <w:p w14:paraId="37E10C9B" w14:textId="77777777" w:rsidR="003F0A64" w:rsidRDefault="003F0A64" w:rsidP="007C734C">
            <w:pPr>
              <w:pStyle w:val="Compact"/>
              <w:jc w:val="center"/>
            </w:pPr>
            <w:r>
              <w:t>-0.4811</w:t>
            </w:r>
          </w:p>
        </w:tc>
        <w:tc>
          <w:tcPr>
            <w:tcW w:w="619" w:type="pct"/>
            <w:hideMark/>
          </w:tcPr>
          <w:p w14:paraId="4FAD78C4" w14:textId="77777777" w:rsidR="003F0A64" w:rsidRDefault="003F0A64" w:rsidP="007C734C">
            <w:pPr>
              <w:pStyle w:val="Compact"/>
              <w:jc w:val="center"/>
            </w:pPr>
            <w:r>
              <w:t>-0.3684</w:t>
            </w:r>
          </w:p>
        </w:tc>
      </w:tr>
      <w:tr w:rsidR="003F0A64" w14:paraId="69AF9712" w14:textId="77777777" w:rsidTr="007C734C">
        <w:tc>
          <w:tcPr>
            <w:tcW w:w="1715" w:type="pct"/>
            <w:hideMark/>
          </w:tcPr>
          <w:p w14:paraId="64C93A22" w14:textId="77777777" w:rsidR="003F0A64" w:rsidRDefault="003F0A64" w:rsidP="007C734C">
            <w:pPr>
              <w:pStyle w:val="Compact"/>
            </w:pPr>
            <w:r>
              <w:t>time60</w:t>
            </w:r>
          </w:p>
        </w:tc>
        <w:tc>
          <w:tcPr>
            <w:tcW w:w="691" w:type="pct"/>
            <w:hideMark/>
          </w:tcPr>
          <w:p w14:paraId="16C823AA" w14:textId="77777777" w:rsidR="003F0A64" w:rsidRDefault="003F0A64" w:rsidP="007C734C">
            <w:pPr>
              <w:pStyle w:val="Compact"/>
              <w:jc w:val="center"/>
            </w:pPr>
            <w:r>
              <w:t>-0.0197</w:t>
            </w:r>
          </w:p>
        </w:tc>
        <w:tc>
          <w:tcPr>
            <w:tcW w:w="651" w:type="pct"/>
            <w:hideMark/>
          </w:tcPr>
          <w:p w14:paraId="170CE729" w14:textId="77777777" w:rsidR="003F0A64" w:rsidRDefault="003F0A64" w:rsidP="007C734C">
            <w:pPr>
              <w:pStyle w:val="Compact"/>
              <w:jc w:val="center"/>
            </w:pPr>
            <w:r>
              <w:t>0.9805</w:t>
            </w:r>
          </w:p>
        </w:tc>
        <w:tc>
          <w:tcPr>
            <w:tcW w:w="703" w:type="pct"/>
            <w:hideMark/>
          </w:tcPr>
          <w:p w14:paraId="650CBE6C" w14:textId="77777777" w:rsidR="003F0A64" w:rsidRDefault="003F0A64" w:rsidP="007C734C">
            <w:pPr>
              <w:pStyle w:val="Compact"/>
              <w:jc w:val="center"/>
            </w:pPr>
            <w:r>
              <w:t>0.0178</w:t>
            </w:r>
          </w:p>
        </w:tc>
        <w:tc>
          <w:tcPr>
            <w:tcW w:w="620" w:type="pct"/>
            <w:hideMark/>
          </w:tcPr>
          <w:p w14:paraId="34F22DB8" w14:textId="77777777" w:rsidR="003F0A64" w:rsidRDefault="003F0A64" w:rsidP="007C734C">
            <w:pPr>
              <w:pStyle w:val="Compact"/>
              <w:jc w:val="center"/>
            </w:pPr>
            <w:r>
              <w:t>-0.0545</w:t>
            </w:r>
          </w:p>
        </w:tc>
        <w:tc>
          <w:tcPr>
            <w:tcW w:w="619" w:type="pct"/>
            <w:hideMark/>
          </w:tcPr>
          <w:p w14:paraId="49D0C8AE" w14:textId="77777777" w:rsidR="003F0A64" w:rsidRDefault="003F0A64" w:rsidP="007C734C">
            <w:pPr>
              <w:pStyle w:val="Compact"/>
              <w:jc w:val="center"/>
            </w:pPr>
            <w:r>
              <w:t>0.0151</w:t>
            </w:r>
          </w:p>
        </w:tc>
      </w:tr>
      <w:tr w:rsidR="003F0A64" w14:paraId="3A7DA766" w14:textId="77777777" w:rsidTr="007C734C">
        <w:tc>
          <w:tcPr>
            <w:tcW w:w="1715" w:type="pct"/>
            <w:hideMark/>
          </w:tcPr>
          <w:p w14:paraId="104381E8" w14:textId="77777777" w:rsidR="003F0A64" w:rsidRDefault="003F0A64" w:rsidP="007C734C">
            <w:pPr>
              <w:pStyle w:val="Compact"/>
            </w:pPr>
            <w:r>
              <w:t>ND0</w:t>
            </w:r>
          </w:p>
        </w:tc>
        <w:tc>
          <w:tcPr>
            <w:tcW w:w="691" w:type="pct"/>
            <w:hideMark/>
          </w:tcPr>
          <w:p w14:paraId="08DB5822" w14:textId="77777777" w:rsidR="003F0A64" w:rsidRDefault="003F0A64" w:rsidP="007C734C">
            <w:pPr>
              <w:pStyle w:val="Compact"/>
              <w:jc w:val="center"/>
            </w:pPr>
            <w:r>
              <w:t>0.0040</w:t>
            </w:r>
          </w:p>
        </w:tc>
        <w:tc>
          <w:tcPr>
            <w:tcW w:w="651" w:type="pct"/>
            <w:hideMark/>
          </w:tcPr>
          <w:p w14:paraId="61D0C254" w14:textId="77777777" w:rsidR="003F0A64" w:rsidRDefault="003F0A64" w:rsidP="007C734C">
            <w:pPr>
              <w:pStyle w:val="Compact"/>
              <w:jc w:val="center"/>
            </w:pPr>
            <w:r>
              <w:t>1.0040</w:t>
            </w:r>
          </w:p>
        </w:tc>
        <w:tc>
          <w:tcPr>
            <w:tcW w:w="703" w:type="pct"/>
            <w:hideMark/>
          </w:tcPr>
          <w:p w14:paraId="20BBF047" w14:textId="77777777" w:rsidR="003F0A64" w:rsidRDefault="003F0A64" w:rsidP="007C734C">
            <w:pPr>
              <w:pStyle w:val="Compact"/>
              <w:jc w:val="center"/>
            </w:pPr>
            <w:r>
              <w:t>0.0002</w:t>
            </w:r>
          </w:p>
        </w:tc>
        <w:tc>
          <w:tcPr>
            <w:tcW w:w="620" w:type="pct"/>
            <w:hideMark/>
          </w:tcPr>
          <w:p w14:paraId="64FD8C83" w14:textId="77777777" w:rsidR="003F0A64" w:rsidRDefault="003F0A64" w:rsidP="007C734C">
            <w:pPr>
              <w:pStyle w:val="Compact"/>
              <w:jc w:val="center"/>
            </w:pPr>
            <w:r>
              <w:t>0.0035</w:t>
            </w:r>
          </w:p>
        </w:tc>
        <w:tc>
          <w:tcPr>
            <w:tcW w:w="619" w:type="pct"/>
            <w:hideMark/>
          </w:tcPr>
          <w:p w14:paraId="6E046AAF" w14:textId="77777777" w:rsidR="003F0A64" w:rsidRDefault="003F0A64" w:rsidP="007C734C">
            <w:pPr>
              <w:pStyle w:val="Compact"/>
              <w:jc w:val="center"/>
            </w:pPr>
            <w:r>
              <w:t>0.0044</w:t>
            </w:r>
          </w:p>
        </w:tc>
      </w:tr>
      <w:tr w:rsidR="003F0A64" w14:paraId="68BBF1D2" w14:textId="77777777" w:rsidTr="007C734C">
        <w:tc>
          <w:tcPr>
            <w:tcW w:w="1715" w:type="pct"/>
            <w:hideMark/>
          </w:tcPr>
          <w:p w14:paraId="018BB638" w14:textId="77777777" w:rsidR="003F0A64" w:rsidRDefault="003F0A64" w:rsidP="007C734C">
            <w:pPr>
              <w:pStyle w:val="Compact"/>
            </w:pPr>
            <w:proofErr w:type="spellStart"/>
            <w:r>
              <w:t>GenderMale</w:t>
            </w:r>
            <w:proofErr w:type="spellEnd"/>
          </w:p>
        </w:tc>
        <w:tc>
          <w:tcPr>
            <w:tcW w:w="691" w:type="pct"/>
            <w:hideMark/>
          </w:tcPr>
          <w:p w14:paraId="67DA44BA" w14:textId="77777777" w:rsidR="003F0A64" w:rsidRDefault="003F0A64" w:rsidP="007C734C">
            <w:pPr>
              <w:pStyle w:val="Compact"/>
              <w:jc w:val="center"/>
            </w:pPr>
            <w:r>
              <w:t>0.5383</w:t>
            </w:r>
          </w:p>
        </w:tc>
        <w:tc>
          <w:tcPr>
            <w:tcW w:w="651" w:type="pct"/>
            <w:hideMark/>
          </w:tcPr>
          <w:p w14:paraId="3B8B913A" w14:textId="77777777" w:rsidR="003F0A64" w:rsidRDefault="003F0A64" w:rsidP="007C734C">
            <w:pPr>
              <w:pStyle w:val="Compact"/>
              <w:jc w:val="center"/>
            </w:pPr>
            <w:r>
              <w:t>1.7132</w:t>
            </w:r>
          </w:p>
        </w:tc>
        <w:tc>
          <w:tcPr>
            <w:tcW w:w="703" w:type="pct"/>
            <w:hideMark/>
          </w:tcPr>
          <w:p w14:paraId="744F3476" w14:textId="77777777" w:rsidR="003F0A64" w:rsidRDefault="003F0A64" w:rsidP="007C734C">
            <w:pPr>
              <w:pStyle w:val="Compact"/>
              <w:jc w:val="center"/>
            </w:pPr>
            <w:r>
              <w:t>0.0346</w:t>
            </w:r>
          </w:p>
        </w:tc>
        <w:tc>
          <w:tcPr>
            <w:tcW w:w="620" w:type="pct"/>
            <w:hideMark/>
          </w:tcPr>
          <w:p w14:paraId="1D9C7D45" w14:textId="77777777" w:rsidR="003F0A64" w:rsidRDefault="003F0A64" w:rsidP="007C734C">
            <w:pPr>
              <w:pStyle w:val="Compact"/>
              <w:jc w:val="center"/>
            </w:pPr>
            <w:r>
              <w:t>0.4706</w:t>
            </w:r>
          </w:p>
        </w:tc>
        <w:tc>
          <w:tcPr>
            <w:tcW w:w="619" w:type="pct"/>
            <w:hideMark/>
          </w:tcPr>
          <w:p w14:paraId="177E70D9" w14:textId="77777777" w:rsidR="003F0A64" w:rsidRDefault="003F0A64" w:rsidP="007C734C">
            <w:pPr>
              <w:pStyle w:val="Compact"/>
              <w:jc w:val="center"/>
            </w:pPr>
            <w:r>
              <w:t>0.6061</w:t>
            </w:r>
          </w:p>
        </w:tc>
      </w:tr>
      <w:tr w:rsidR="003F0A64" w14:paraId="55DE39E7" w14:textId="77777777" w:rsidTr="007C734C">
        <w:tc>
          <w:tcPr>
            <w:tcW w:w="1715" w:type="pct"/>
            <w:hideMark/>
          </w:tcPr>
          <w:p w14:paraId="0D38FFF3" w14:textId="77777777" w:rsidR="003F0A64" w:rsidRDefault="003F0A64" w:rsidP="007C734C">
            <w:pPr>
              <w:pStyle w:val="Compact"/>
            </w:pPr>
            <w:r>
              <w:t>Treatment</w:t>
            </w:r>
            <w:proofErr w:type="gramStart"/>
            <w:r>
              <w:t>2:time</w:t>
            </w:r>
            <w:proofErr w:type="gramEnd"/>
            <w:r>
              <w:t>60</w:t>
            </w:r>
          </w:p>
        </w:tc>
        <w:tc>
          <w:tcPr>
            <w:tcW w:w="691" w:type="pct"/>
            <w:hideMark/>
          </w:tcPr>
          <w:p w14:paraId="5EBFCE04" w14:textId="77777777" w:rsidR="003F0A64" w:rsidRDefault="003F0A64" w:rsidP="007C734C">
            <w:pPr>
              <w:pStyle w:val="Compact"/>
              <w:jc w:val="center"/>
            </w:pPr>
            <w:r>
              <w:t>-0.3733</w:t>
            </w:r>
          </w:p>
        </w:tc>
        <w:tc>
          <w:tcPr>
            <w:tcW w:w="651" w:type="pct"/>
            <w:hideMark/>
          </w:tcPr>
          <w:p w14:paraId="7F4F46E4" w14:textId="77777777" w:rsidR="003F0A64" w:rsidRDefault="003F0A64" w:rsidP="007C734C">
            <w:pPr>
              <w:pStyle w:val="Compact"/>
              <w:jc w:val="center"/>
            </w:pPr>
            <w:r>
              <w:t>0.6884</w:t>
            </w:r>
          </w:p>
        </w:tc>
        <w:tc>
          <w:tcPr>
            <w:tcW w:w="703" w:type="pct"/>
            <w:hideMark/>
          </w:tcPr>
          <w:p w14:paraId="1F5F980F" w14:textId="77777777" w:rsidR="003F0A64" w:rsidRDefault="003F0A64" w:rsidP="007C734C">
            <w:pPr>
              <w:pStyle w:val="Compact"/>
              <w:jc w:val="center"/>
            </w:pPr>
            <w:r>
              <w:t>0.0246</w:t>
            </w:r>
          </w:p>
        </w:tc>
        <w:tc>
          <w:tcPr>
            <w:tcW w:w="620" w:type="pct"/>
            <w:hideMark/>
          </w:tcPr>
          <w:p w14:paraId="31593B69" w14:textId="77777777" w:rsidR="003F0A64" w:rsidRDefault="003F0A64" w:rsidP="007C734C">
            <w:pPr>
              <w:pStyle w:val="Compact"/>
              <w:jc w:val="center"/>
            </w:pPr>
            <w:r>
              <w:t>-0.4216</w:t>
            </w:r>
          </w:p>
        </w:tc>
        <w:tc>
          <w:tcPr>
            <w:tcW w:w="619" w:type="pct"/>
            <w:hideMark/>
          </w:tcPr>
          <w:p w14:paraId="4748FB51" w14:textId="77777777" w:rsidR="003F0A64" w:rsidRDefault="003F0A64" w:rsidP="007C734C">
            <w:pPr>
              <w:pStyle w:val="Compact"/>
              <w:jc w:val="center"/>
            </w:pPr>
            <w:r>
              <w:t>-0.3250</w:t>
            </w:r>
          </w:p>
        </w:tc>
      </w:tr>
      <w:tr w:rsidR="003F0A64" w14:paraId="57F7BAFD" w14:textId="77777777" w:rsidTr="007C734C">
        <w:tc>
          <w:tcPr>
            <w:tcW w:w="1715" w:type="pct"/>
            <w:hideMark/>
          </w:tcPr>
          <w:p w14:paraId="496026D6" w14:textId="77777777" w:rsidR="003F0A64" w:rsidRDefault="003F0A64" w:rsidP="007C734C">
            <w:pPr>
              <w:pStyle w:val="Compact"/>
            </w:pPr>
            <w:r>
              <w:t>Treatment</w:t>
            </w:r>
            <w:proofErr w:type="gramStart"/>
            <w:r>
              <w:t>3:time</w:t>
            </w:r>
            <w:proofErr w:type="gramEnd"/>
            <w:r>
              <w:t>60</w:t>
            </w:r>
          </w:p>
        </w:tc>
        <w:tc>
          <w:tcPr>
            <w:tcW w:w="691" w:type="pct"/>
            <w:hideMark/>
          </w:tcPr>
          <w:p w14:paraId="08BECA5E" w14:textId="77777777" w:rsidR="003F0A64" w:rsidRDefault="003F0A64" w:rsidP="007C734C">
            <w:pPr>
              <w:pStyle w:val="Compact"/>
              <w:jc w:val="center"/>
            </w:pPr>
            <w:r>
              <w:t>0.0048</w:t>
            </w:r>
          </w:p>
        </w:tc>
        <w:tc>
          <w:tcPr>
            <w:tcW w:w="651" w:type="pct"/>
            <w:hideMark/>
          </w:tcPr>
          <w:p w14:paraId="1A663DD6" w14:textId="77777777" w:rsidR="003F0A64" w:rsidRDefault="003F0A64" w:rsidP="007C734C">
            <w:pPr>
              <w:pStyle w:val="Compact"/>
              <w:jc w:val="center"/>
            </w:pPr>
            <w:r>
              <w:t>1.0048</w:t>
            </w:r>
          </w:p>
        </w:tc>
        <w:tc>
          <w:tcPr>
            <w:tcW w:w="703" w:type="pct"/>
            <w:hideMark/>
          </w:tcPr>
          <w:p w14:paraId="5F5EEB5E" w14:textId="77777777" w:rsidR="003F0A64" w:rsidRDefault="003F0A64" w:rsidP="007C734C">
            <w:pPr>
              <w:pStyle w:val="Compact"/>
              <w:jc w:val="center"/>
            </w:pPr>
            <w:r>
              <w:t>0.0263</w:t>
            </w:r>
          </w:p>
        </w:tc>
        <w:tc>
          <w:tcPr>
            <w:tcW w:w="620" w:type="pct"/>
            <w:hideMark/>
          </w:tcPr>
          <w:p w14:paraId="577870EE" w14:textId="77777777" w:rsidR="003F0A64" w:rsidRDefault="003F0A64" w:rsidP="007C734C">
            <w:pPr>
              <w:pStyle w:val="Compact"/>
              <w:jc w:val="center"/>
            </w:pPr>
            <w:r>
              <w:t>-0.0467</w:t>
            </w:r>
          </w:p>
        </w:tc>
        <w:tc>
          <w:tcPr>
            <w:tcW w:w="619" w:type="pct"/>
            <w:hideMark/>
          </w:tcPr>
          <w:p w14:paraId="429136FF" w14:textId="77777777" w:rsidR="003F0A64" w:rsidRDefault="003F0A64" w:rsidP="007C734C">
            <w:pPr>
              <w:pStyle w:val="Compact"/>
              <w:jc w:val="center"/>
            </w:pPr>
            <w:r>
              <w:t>0.0563</w:t>
            </w:r>
          </w:p>
        </w:tc>
      </w:tr>
      <w:tr w:rsidR="003F0A64" w14:paraId="3E52F193" w14:textId="77777777" w:rsidTr="007C734C">
        <w:tc>
          <w:tcPr>
            <w:tcW w:w="1715" w:type="pct"/>
            <w:hideMark/>
          </w:tcPr>
          <w:p w14:paraId="55CD5A65" w14:textId="77777777" w:rsidR="003F0A64" w:rsidRDefault="003F0A64" w:rsidP="007C734C">
            <w:pPr>
              <w:pStyle w:val="Compact"/>
            </w:pPr>
            <w:r>
              <w:t>Treatment</w:t>
            </w:r>
            <w:proofErr w:type="gramStart"/>
            <w:r>
              <w:t>2:GenderMale</w:t>
            </w:r>
            <w:proofErr w:type="gramEnd"/>
          </w:p>
        </w:tc>
        <w:tc>
          <w:tcPr>
            <w:tcW w:w="691" w:type="pct"/>
            <w:hideMark/>
          </w:tcPr>
          <w:p w14:paraId="4211B067" w14:textId="77777777" w:rsidR="003F0A64" w:rsidRDefault="003F0A64" w:rsidP="007C734C">
            <w:pPr>
              <w:pStyle w:val="Compact"/>
              <w:jc w:val="center"/>
            </w:pPr>
            <w:r>
              <w:t>0.0644</w:t>
            </w:r>
          </w:p>
        </w:tc>
        <w:tc>
          <w:tcPr>
            <w:tcW w:w="651" w:type="pct"/>
            <w:hideMark/>
          </w:tcPr>
          <w:p w14:paraId="3BA945D8" w14:textId="77777777" w:rsidR="003F0A64" w:rsidRDefault="003F0A64" w:rsidP="007C734C">
            <w:pPr>
              <w:pStyle w:val="Compact"/>
              <w:jc w:val="center"/>
            </w:pPr>
            <w:r>
              <w:t>1.0666</w:t>
            </w:r>
          </w:p>
        </w:tc>
        <w:tc>
          <w:tcPr>
            <w:tcW w:w="703" w:type="pct"/>
            <w:hideMark/>
          </w:tcPr>
          <w:p w14:paraId="67E954EB" w14:textId="77777777" w:rsidR="003F0A64" w:rsidRDefault="003F0A64" w:rsidP="007C734C">
            <w:pPr>
              <w:pStyle w:val="Compact"/>
              <w:jc w:val="center"/>
            </w:pPr>
            <w:r>
              <w:t>0.0274</w:t>
            </w:r>
          </w:p>
        </w:tc>
        <w:tc>
          <w:tcPr>
            <w:tcW w:w="620" w:type="pct"/>
            <w:hideMark/>
          </w:tcPr>
          <w:p w14:paraId="7D6BB952" w14:textId="77777777" w:rsidR="003F0A64" w:rsidRDefault="003F0A64" w:rsidP="007C734C">
            <w:pPr>
              <w:pStyle w:val="Compact"/>
              <w:jc w:val="center"/>
            </w:pPr>
            <w:r>
              <w:t>0.0108</w:t>
            </w:r>
          </w:p>
        </w:tc>
        <w:tc>
          <w:tcPr>
            <w:tcW w:w="619" w:type="pct"/>
            <w:hideMark/>
          </w:tcPr>
          <w:p w14:paraId="28B18BF5" w14:textId="77777777" w:rsidR="003F0A64" w:rsidRDefault="003F0A64" w:rsidP="007C734C">
            <w:pPr>
              <w:pStyle w:val="Compact"/>
              <w:jc w:val="center"/>
            </w:pPr>
            <w:r>
              <w:t>0.1181</w:t>
            </w:r>
          </w:p>
        </w:tc>
      </w:tr>
      <w:tr w:rsidR="003F0A64" w14:paraId="162DA73C" w14:textId="77777777" w:rsidTr="007C734C">
        <w:tc>
          <w:tcPr>
            <w:tcW w:w="1715" w:type="pct"/>
            <w:tcBorders>
              <w:bottom w:val="single" w:sz="4" w:space="0" w:color="auto"/>
            </w:tcBorders>
            <w:hideMark/>
          </w:tcPr>
          <w:p w14:paraId="0F0A5764" w14:textId="77777777" w:rsidR="003F0A64" w:rsidRDefault="003F0A64" w:rsidP="007C734C">
            <w:pPr>
              <w:pStyle w:val="Compact"/>
            </w:pPr>
            <w:r>
              <w:t>Treatment</w:t>
            </w:r>
            <w:proofErr w:type="gramStart"/>
            <w:r>
              <w:t>3:GenderMale</w:t>
            </w:r>
            <w:proofErr w:type="gramEnd"/>
          </w:p>
        </w:tc>
        <w:tc>
          <w:tcPr>
            <w:tcW w:w="691" w:type="pct"/>
            <w:tcBorders>
              <w:bottom w:val="single" w:sz="4" w:space="0" w:color="auto"/>
            </w:tcBorders>
            <w:hideMark/>
          </w:tcPr>
          <w:p w14:paraId="1AC759A4" w14:textId="77777777" w:rsidR="003F0A64" w:rsidRDefault="003F0A64" w:rsidP="007C734C">
            <w:pPr>
              <w:pStyle w:val="Compact"/>
              <w:jc w:val="center"/>
            </w:pPr>
            <w:r>
              <w:t>0.0330</w:t>
            </w:r>
          </w:p>
        </w:tc>
        <w:tc>
          <w:tcPr>
            <w:tcW w:w="651" w:type="pct"/>
            <w:tcBorders>
              <w:bottom w:val="single" w:sz="4" w:space="0" w:color="auto"/>
            </w:tcBorders>
            <w:hideMark/>
          </w:tcPr>
          <w:p w14:paraId="6CC6B8E6" w14:textId="77777777" w:rsidR="003F0A64" w:rsidRDefault="003F0A64" w:rsidP="007C734C">
            <w:pPr>
              <w:pStyle w:val="Compact"/>
              <w:jc w:val="center"/>
            </w:pPr>
            <w:r>
              <w:t>1.0336</w:t>
            </w:r>
          </w:p>
        </w:tc>
        <w:tc>
          <w:tcPr>
            <w:tcW w:w="703" w:type="pct"/>
            <w:tcBorders>
              <w:bottom w:val="single" w:sz="4" w:space="0" w:color="auto"/>
            </w:tcBorders>
            <w:hideMark/>
          </w:tcPr>
          <w:p w14:paraId="1EB044F8" w14:textId="77777777" w:rsidR="003F0A64" w:rsidRDefault="003F0A64" w:rsidP="007C734C">
            <w:pPr>
              <w:pStyle w:val="Compact"/>
              <w:jc w:val="center"/>
            </w:pPr>
            <w:r>
              <w:t>0.0300</w:t>
            </w:r>
          </w:p>
        </w:tc>
        <w:tc>
          <w:tcPr>
            <w:tcW w:w="620" w:type="pct"/>
            <w:tcBorders>
              <w:bottom w:val="single" w:sz="4" w:space="0" w:color="auto"/>
            </w:tcBorders>
            <w:hideMark/>
          </w:tcPr>
          <w:p w14:paraId="6B52A9D8" w14:textId="77777777" w:rsidR="003F0A64" w:rsidRDefault="003F0A64" w:rsidP="007C734C">
            <w:pPr>
              <w:pStyle w:val="Compact"/>
              <w:jc w:val="center"/>
            </w:pPr>
            <w:r>
              <w:t>-0.0257</w:t>
            </w:r>
          </w:p>
        </w:tc>
        <w:tc>
          <w:tcPr>
            <w:tcW w:w="619" w:type="pct"/>
            <w:tcBorders>
              <w:bottom w:val="single" w:sz="4" w:space="0" w:color="auto"/>
            </w:tcBorders>
            <w:hideMark/>
          </w:tcPr>
          <w:p w14:paraId="5D4AB5CF" w14:textId="77777777" w:rsidR="003F0A64" w:rsidRDefault="003F0A64" w:rsidP="007C734C">
            <w:pPr>
              <w:pStyle w:val="Compact"/>
              <w:jc w:val="center"/>
            </w:pPr>
            <w:r>
              <w:t>0.0918</w:t>
            </w:r>
          </w:p>
        </w:tc>
      </w:tr>
    </w:tbl>
    <w:p w14:paraId="707564E3" w14:textId="77777777" w:rsidR="003F0A64" w:rsidRDefault="003F0A64" w:rsidP="003F0A64">
      <w:pPr>
        <w:pStyle w:val="Caption"/>
        <w:jc w:val="left"/>
      </w:pPr>
      <w:r>
        <w:t>CIL indicates lower bound of 95% confidence interval and CIU indicates upper bound of 95% confidence interval</w:t>
      </w:r>
    </w:p>
    <w:p w14:paraId="7F7638F3" w14:textId="77777777" w:rsidR="003F0A64" w:rsidRDefault="003F0A64" w:rsidP="003F0A64">
      <w:pPr>
        <w:pStyle w:val="Caption"/>
        <w:keepNext/>
      </w:pPr>
      <w:r>
        <w:t xml:space="preserve">Table </w:t>
      </w:r>
      <w:r>
        <w:fldChar w:fldCharType="begin"/>
      </w:r>
      <w:r>
        <w:instrText xml:space="preserve"> SEQ Table \* ARABIC </w:instrText>
      </w:r>
      <w:r>
        <w:fldChar w:fldCharType="separate"/>
      </w:r>
      <w:r>
        <w:rPr>
          <w:noProof/>
        </w:rPr>
        <w:t>7</w:t>
      </w:r>
      <w:r>
        <w:fldChar w:fldCharType="end"/>
      </w:r>
      <w:r>
        <w:t xml:space="preserve"> Results of Model 6</w:t>
      </w:r>
    </w:p>
    <w:tbl>
      <w:tblPr>
        <w:tblStyle w:val="Table"/>
        <w:tblW w:w="5000" w:type="pct"/>
        <w:tblLook w:val="07E0" w:firstRow="1" w:lastRow="1" w:firstColumn="1" w:lastColumn="1" w:noHBand="1" w:noVBand="1"/>
      </w:tblPr>
      <w:tblGrid>
        <w:gridCol w:w="2089"/>
        <w:gridCol w:w="1558"/>
        <w:gridCol w:w="1333"/>
        <w:gridCol w:w="1586"/>
        <w:gridCol w:w="1397"/>
        <w:gridCol w:w="1397"/>
      </w:tblGrid>
      <w:tr w:rsidR="003F0A64" w:rsidRPr="00600F97" w14:paraId="44F9B462" w14:textId="77777777" w:rsidTr="007C734C">
        <w:tc>
          <w:tcPr>
            <w:tcW w:w="1116" w:type="pct"/>
            <w:tcBorders>
              <w:top w:val="single" w:sz="4" w:space="0" w:color="auto"/>
              <w:left w:val="nil"/>
              <w:bottom w:val="single" w:sz="2" w:space="0" w:color="auto"/>
              <w:right w:val="nil"/>
            </w:tcBorders>
            <w:vAlign w:val="bottom"/>
          </w:tcPr>
          <w:p w14:paraId="7573B7B0" w14:textId="77777777" w:rsidR="003F0A64" w:rsidRDefault="003F0A64" w:rsidP="007C734C">
            <w:pPr>
              <w:pStyle w:val="Compact"/>
            </w:pPr>
          </w:p>
        </w:tc>
        <w:tc>
          <w:tcPr>
            <w:tcW w:w="832" w:type="pct"/>
            <w:tcBorders>
              <w:top w:val="single" w:sz="4" w:space="0" w:color="auto"/>
              <w:left w:val="nil"/>
              <w:bottom w:val="single" w:sz="2" w:space="0" w:color="auto"/>
              <w:right w:val="nil"/>
            </w:tcBorders>
            <w:vAlign w:val="bottom"/>
            <w:hideMark/>
          </w:tcPr>
          <w:p w14:paraId="735ACD0D" w14:textId="77777777" w:rsidR="003F0A64" w:rsidRDefault="003F0A64" w:rsidP="007C734C">
            <w:pPr>
              <w:pStyle w:val="Compact"/>
              <w:jc w:val="center"/>
            </w:pPr>
            <w:r>
              <w:t>Estimate</w:t>
            </w:r>
          </w:p>
        </w:tc>
        <w:tc>
          <w:tcPr>
            <w:tcW w:w="712" w:type="pct"/>
            <w:tcBorders>
              <w:top w:val="single" w:sz="4" w:space="0" w:color="auto"/>
              <w:left w:val="nil"/>
              <w:bottom w:val="single" w:sz="2" w:space="0" w:color="auto"/>
              <w:right w:val="nil"/>
            </w:tcBorders>
            <w:vAlign w:val="bottom"/>
            <w:hideMark/>
          </w:tcPr>
          <w:p w14:paraId="7D795E22" w14:textId="77777777" w:rsidR="003F0A64" w:rsidRDefault="003F0A64" w:rsidP="007C734C">
            <w:pPr>
              <w:pStyle w:val="Compact"/>
              <w:jc w:val="center"/>
            </w:pPr>
            <w:proofErr w:type="spellStart"/>
            <w:r>
              <w:t>Exp.Est</w:t>
            </w:r>
            <w:proofErr w:type="spellEnd"/>
          </w:p>
        </w:tc>
        <w:tc>
          <w:tcPr>
            <w:tcW w:w="847" w:type="pct"/>
            <w:tcBorders>
              <w:top w:val="single" w:sz="4" w:space="0" w:color="auto"/>
              <w:left w:val="nil"/>
              <w:bottom w:val="single" w:sz="2" w:space="0" w:color="auto"/>
              <w:right w:val="nil"/>
            </w:tcBorders>
            <w:vAlign w:val="bottom"/>
            <w:hideMark/>
          </w:tcPr>
          <w:p w14:paraId="341D4CA4" w14:textId="77777777" w:rsidR="003F0A64" w:rsidRDefault="003F0A64" w:rsidP="007C734C">
            <w:pPr>
              <w:pStyle w:val="Compact"/>
              <w:jc w:val="center"/>
            </w:pPr>
            <w:proofErr w:type="spellStart"/>
            <w:r>
              <w:t>Std.Error</w:t>
            </w:r>
            <w:proofErr w:type="spellEnd"/>
          </w:p>
        </w:tc>
        <w:tc>
          <w:tcPr>
            <w:tcW w:w="746" w:type="pct"/>
            <w:tcBorders>
              <w:top w:val="single" w:sz="4" w:space="0" w:color="auto"/>
              <w:left w:val="nil"/>
              <w:bottom w:val="single" w:sz="2" w:space="0" w:color="auto"/>
              <w:right w:val="nil"/>
            </w:tcBorders>
            <w:vAlign w:val="bottom"/>
            <w:hideMark/>
          </w:tcPr>
          <w:p w14:paraId="63120705" w14:textId="77777777" w:rsidR="003F0A64" w:rsidRDefault="003F0A64" w:rsidP="007C734C">
            <w:pPr>
              <w:pStyle w:val="Compact"/>
              <w:jc w:val="center"/>
            </w:pPr>
            <w:r>
              <w:t>CIL</w:t>
            </w:r>
          </w:p>
        </w:tc>
        <w:tc>
          <w:tcPr>
            <w:tcW w:w="746" w:type="pct"/>
            <w:tcBorders>
              <w:top w:val="single" w:sz="4" w:space="0" w:color="auto"/>
              <w:left w:val="nil"/>
              <w:bottom w:val="single" w:sz="2" w:space="0" w:color="auto"/>
              <w:right w:val="nil"/>
            </w:tcBorders>
            <w:vAlign w:val="bottom"/>
            <w:hideMark/>
          </w:tcPr>
          <w:p w14:paraId="45A423AE" w14:textId="77777777" w:rsidR="003F0A64" w:rsidRDefault="003F0A64" w:rsidP="007C734C">
            <w:pPr>
              <w:pStyle w:val="Compact"/>
              <w:jc w:val="center"/>
            </w:pPr>
            <w:r>
              <w:t>CIU</w:t>
            </w:r>
          </w:p>
        </w:tc>
      </w:tr>
      <w:tr w:rsidR="003F0A64" w14:paraId="12E3E6B7" w14:textId="77777777" w:rsidTr="007C734C">
        <w:tc>
          <w:tcPr>
            <w:tcW w:w="1116" w:type="pct"/>
            <w:hideMark/>
          </w:tcPr>
          <w:p w14:paraId="3A89FC34" w14:textId="77777777" w:rsidR="003F0A64" w:rsidRDefault="003F0A64" w:rsidP="007C734C">
            <w:pPr>
              <w:pStyle w:val="Compact"/>
            </w:pPr>
            <w:r>
              <w:t>(Intercept)</w:t>
            </w:r>
          </w:p>
        </w:tc>
        <w:tc>
          <w:tcPr>
            <w:tcW w:w="832" w:type="pct"/>
            <w:hideMark/>
          </w:tcPr>
          <w:p w14:paraId="5A9D203E" w14:textId="77777777" w:rsidR="003F0A64" w:rsidRDefault="003F0A64" w:rsidP="007C734C">
            <w:pPr>
              <w:pStyle w:val="Compact"/>
              <w:jc w:val="center"/>
            </w:pPr>
            <w:r>
              <w:t>1.8188</w:t>
            </w:r>
          </w:p>
        </w:tc>
        <w:tc>
          <w:tcPr>
            <w:tcW w:w="712" w:type="pct"/>
            <w:hideMark/>
          </w:tcPr>
          <w:p w14:paraId="58EAE40E" w14:textId="77777777" w:rsidR="003F0A64" w:rsidRDefault="003F0A64" w:rsidP="007C734C">
            <w:pPr>
              <w:pStyle w:val="Compact"/>
              <w:jc w:val="center"/>
            </w:pPr>
            <w:r>
              <w:t>6.1646</w:t>
            </w:r>
          </w:p>
        </w:tc>
        <w:tc>
          <w:tcPr>
            <w:tcW w:w="847" w:type="pct"/>
            <w:hideMark/>
          </w:tcPr>
          <w:p w14:paraId="463BDEC1" w14:textId="77777777" w:rsidR="003F0A64" w:rsidRDefault="003F0A64" w:rsidP="007C734C">
            <w:pPr>
              <w:pStyle w:val="Compact"/>
              <w:jc w:val="center"/>
            </w:pPr>
            <w:r>
              <w:t>0.5980</w:t>
            </w:r>
          </w:p>
        </w:tc>
        <w:tc>
          <w:tcPr>
            <w:tcW w:w="746" w:type="pct"/>
            <w:hideMark/>
          </w:tcPr>
          <w:p w14:paraId="01DD5AA6" w14:textId="77777777" w:rsidR="003F0A64" w:rsidRDefault="003F0A64" w:rsidP="007C734C">
            <w:pPr>
              <w:pStyle w:val="Compact"/>
              <w:jc w:val="center"/>
            </w:pPr>
            <w:r>
              <w:t>0.6656</w:t>
            </w:r>
          </w:p>
        </w:tc>
        <w:tc>
          <w:tcPr>
            <w:tcW w:w="746" w:type="pct"/>
            <w:hideMark/>
          </w:tcPr>
          <w:p w14:paraId="23EB3F30" w14:textId="77777777" w:rsidR="003F0A64" w:rsidRDefault="003F0A64" w:rsidP="007C734C">
            <w:pPr>
              <w:pStyle w:val="Compact"/>
              <w:jc w:val="center"/>
            </w:pPr>
            <w:r>
              <w:t>3.0171</w:t>
            </w:r>
          </w:p>
        </w:tc>
      </w:tr>
      <w:tr w:rsidR="003F0A64" w14:paraId="2AA4424F" w14:textId="77777777" w:rsidTr="007C734C">
        <w:tc>
          <w:tcPr>
            <w:tcW w:w="1116" w:type="pct"/>
            <w:hideMark/>
          </w:tcPr>
          <w:p w14:paraId="4C16AF87" w14:textId="77777777" w:rsidR="003F0A64" w:rsidRDefault="003F0A64" w:rsidP="007C734C">
            <w:pPr>
              <w:pStyle w:val="Compact"/>
            </w:pPr>
            <w:r>
              <w:t>Treatment2</w:t>
            </w:r>
          </w:p>
        </w:tc>
        <w:tc>
          <w:tcPr>
            <w:tcW w:w="832" w:type="pct"/>
            <w:hideMark/>
          </w:tcPr>
          <w:p w14:paraId="1D58BEF6" w14:textId="77777777" w:rsidR="003F0A64" w:rsidRDefault="003F0A64" w:rsidP="007C734C">
            <w:pPr>
              <w:pStyle w:val="Compact"/>
              <w:jc w:val="center"/>
            </w:pPr>
            <w:r>
              <w:t>-1.7006</w:t>
            </w:r>
          </w:p>
        </w:tc>
        <w:tc>
          <w:tcPr>
            <w:tcW w:w="712" w:type="pct"/>
            <w:hideMark/>
          </w:tcPr>
          <w:p w14:paraId="70A2B2F0" w14:textId="77777777" w:rsidR="003F0A64" w:rsidRDefault="003F0A64" w:rsidP="007C734C">
            <w:pPr>
              <w:pStyle w:val="Compact"/>
              <w:jc w:val="center"/>
            </w:pPr>
            <w:r>
              <w:t>0.1826</w:t>
            </w:r>
          </w:p>
        </w:tc>
        <w:tc>
          <w:tcPr>
            <w:tcW w:w="847" w:type="pct"/>
            <w:hideMark/>
          </w:tcPr>
          <w:p w14:paraId="2CB79DA5" w14:textId="77777777" w:rsidR="003F0A64" w:rsidRDefault="003F0A64" w:rsidP="007C734C">
            <w:pPr>
              <w:pStyle w:val="Compact"/>
              <w:jc w:val="center"/>
            </w:pPr>
            <w:r>
              <w:t>0.3208</w:t>
            </w:r>
          </w:p>
        </w:tc>
        <w:tc>
          <w:tcPr>
            <w:tcW w:w="746" w:type="pct"/>
            <w:hideMark/>
          </w:tcPr>
          <w:p w14:paraId="1B27918B" w14:textId="77777777" w:rsidR="003F0A64" w:rsidRDefault="003F0A64" w:rsidP="007C734C">
            <w:pPr>
              <w:pStyle w:val="Compact"/>
              <w:jc w:val="center"/>
            </w:pPr>
            <w:r>
              <w:t>-2.3492</w:t>
            </w:r>
          </w:p>
        </w:tc>
        <w:tc>
          <w:tcPr>
            <w:tcW w:w="746" w:type="pct"/>
            <w:hideMark/>
          </w:tcPr>
          <w:p w14:paraId="580749BA" w14:textId="77777777" w:rsidR="003F0A64" w:rsidRDefault="003F0A64" w:rsidP="007C734C">
            <w:pPr>
              <w:pStyle w:val="Compact"/>
              <w:jc w:val="center"/>
            </w:pPr>
            <w:r>
              <w:t>-1.0873</w:t>
            </w:r>
          </w:p>
        </w:tc>
      </w:tr>
      <w:tr w:rsidR="003F0A64" w14:paraId="53FBAA63" w14:textId="77777777" w:rsidTr="007C734C">
        <w:tc>
          <w:tcPr>
            <w:tcW w:w="1116" w:type="pct"/>
            <w:hideMark/>
          </w:tcPr>
          <w:p w14:paraId="7A908D17" w14:textId="77777777" w:rsidR="003F0A64" w:rsidRDefault="003F0A64" w:rsidP="007C734C">
            <w:pPr>
              <w:pStyle w:val="Compact"/>
            </w:pPr>
            <w:r>
              <w:t>Treatment3</w:t>
            </w:r>
          </w:p>
        </w:tc>
        <w:tc>
          <w:tcPr>
            <w:tcW w:w="832" w:type="pct"/>
            <w:hideMark/>
          </w:tcPr>
          <w:p w14:paraId="168194A2" w14:textId="77777777" w:rsidR="003F0A64" w:rsidRDefault="003F0A64" w:rsidP="007C734C">
            <w:pPr>
              <w:pStyle w:val="Compact"/>
              <w:jc w:val="center"/>
            </w:pPr>
            <w:r>
              <w:t>-3.3667</w:t>
            </w:r>
          </w:p>
        </w:tc>
        <w:tc>
          <w:tcPr>
            <w:tcW w:w="712" w:type="pct"/>
            <w:hideMark/>
          </w:tcPr>
          <w:p w14:paraId="042FC646" w14:textId="77777777" w:rsidR="003F0A64" w:rsidRDefault="003F0A64" w:rsidP="007C734C">
            <w:pPr>
              <w:pStyle w:val="Compact"/>
              <w:jc w:val="center"/>
            </w:pPr>
            <w:r>
              <w:t>0.0345</w:t>
            </w:r>
          </w:p>
        </w:tc>
        <w:tc>
          <w:tcPr>
            <w:tcW w:w="847" w:type="pct"/>
            <w:hideMark/>
          </w:tcPr>
          <w:p w14:paraId="37D6207B" w14:textId="77777777" w:rsidR="003F0A64" w:rsidRDefault="003F0A64" w:rsidP="007C734C">
            <w:pPr>
              <w:pStyle w:val="Compact"/>
              <w:jc w:val="center"/>
            </w:pPr>
            <w:r>
              <w:t>0.3862</w:t>
            </w:r>
          </w:p>
        </w:tc>
        <w:tc>
          <w:tcPr>
            <w:tcW w:w="746" w:type="pct"/>
            <w:hideMark/>
          </w:tcPr>
          <w:p w14:paraId="2CA8D93D" w14:textId="77777777" w:rsidR="003F0A64" w:rsidRDefault="003F0A64" w:rsidP="007C734C">
            <w:pPr>
              <w:pStyle w:val="Compact"/>
              <w:jc w:val="center"/>
            </w:pPr>
            <w:r>
              <w:t>-4.1601</w:t>
            </w:r>
          </w:p>
        </w:tc>
        <w:tc>
          <w:tcPr>
            <w:tcW w:w="746" w:type="pct"/>
            <w:hideMark/>
          </w:tcPr>
          <w:p w14:paraId="64A2C8BB" w14:textId="77777777" w:rsidR="003F0A64" w:rsidRDefault="003F0A64" w:rsidP="007C734C">
            <w:pPr>
              <w:pStyle w:val="Compact"/>
              <w:jc w:val="center"/>
            </w:pPr>
            <w:r>
              <w:t>-2.6406</w:t>
            </w:r>
          </w:p>
        </w:tc>
      </w:tr>
      <w:tr w:rsidR="003F0A64" w14:paraId="7263547D" w14:textId="77777777" w:rsidTr="007C734C">
        <w:tc>
          <w:tcPr>
            <w:tcW w:w="1116" w:type="pct"/>
            <w:hideMark/>
          </w:tcPr>
          <w:p w14:paraId="78C48CDA" w14:textId="77777777" w:rsidR="003F0A64" w:rsidRDefault="003F0A64" w:rsidP="007C734C">
            <w:pPr>
              <w:pStyle w:val="Compact"/>
            </w:pPr>
            <w:proofErr w:type="spellStart"/>
            <w:r>
              <w:t>GenderMale</w:t>
            </w:r>
            <w:proofErr w:type="spellEnd"/>
          </w:p>
        </w:tc>
        <w:tc>
          <w:tcPr>
            <w:tcW w:w="832" w:type="pct"/>
            <w:hideMark/>
          </w:tcPr>
          <w:p w14:paraId="275C6ED3" w14:textId="77777777" w:rsidR="003F0A64" w:rsidRDefault="003F0A64" w:rsidP="007C734C">
            <w:pPr>
              <w:pStyle w:val="Compact"/>
              <w:jc w:val="center"/>
            </w:pPr>
            <w:r>
              <w:t>0.4970</w:t>
            </w:r>
          </w:p>
        </w:tc>
        <w:tc>
          <w:tcPr>
            <w:tcW w:w="712" w:type="pct"/>
            <w:hideMark/>
          </w:tcPr>
          <w:p w14:paraId="20145039" w14:textId="77777777" w:rsidR="003F0A64" w:rsidRDefault="003F0A64" w:rsidP="007C734C">
            <w:pPr>
              <w:pStyle w:val="Compact"/>
              <w:jc w:val="center"/>
            </w:pPr>
            <w:r>
              <w:t>1.6438</w:t>
            </w:r>
          </w:p>
        </w:tc>
        <w:tc>
          <w:tcPr>
            <w:tcW w:w="847" w:type="pct"/>
            <w:hideMark/>
          </w:tcPr>
          <w:p w14:paraId="46565DB1" w14:textId="77777777" w:rsidR="003F0A64" w:rsidRDefault="003F0A64" w:rsidP="007C734C">
            <w:pPr>
              <w:pStyle w:val="Compact"/>
              <w:jc w:val="center"/>
            </w:pPr>
            <w:r>
              <w:t>0.9073</w:t>
            </w:r>
          </w:p>
        </w:tc>
        <w:tc>
          <w:tcPr>
            <w:tcW w:w="746" w:type="pct"/>
            <w:hideMark/>
          </w:tcPr>
          <w:p w14:paraId="7A5537F9" w14:textId="77777777" w:rsidR="003F0A64" w:rsidRDefault="003F0A64" w:rsidP="007C734C">
            <w:pPr>
              <w:pStyle w:val="Compact"/>
              <w:jc w:val="center"/>
            </w:pPr>
            <w:r>
              <w:t>-1.2896</w:t>
            </w:r>
          </w:p>
        </w:tc>
        <w:tc>
          <w:tcPr>
            <w:tcW w:w="746" w:type="pct"/>
            <w:hideMark/>
          </w:tcPr>
          <w:p w14:paraId="32514225" w14:textId="77777777" w:rsidR="003F0A64" w:rsidRDefault="003F0A64" w:rsidP="007C734C">
            <w:pPr>
              <w:pStyle w:val="Compact"/>
              <w:jc w:val="center"/>
            </w:pPr>
            <w:r>
              <w:t>2.2790</w:t>
            </w:r>
          </w:p>
        </w:tc>
      </w:tr>
      <w:tr w:rsidR="003F0A64" w14:paraId="7117D758" w14:textId="77777777" w:rsidTr="007C734C">
        <w:tc>
          <w:tcPr>
            <w:tcW w:w="1116" w:type="pct"/>
            <w:tcBorders>
              <w:bottom w:val="single" w:sz="4" w:space="0" w:color="auto"/>
            </w:tcBorders>
            <w:hideMark/>
          </w:tcPr>
          <w:p w14:paraId="67AD3173" w14:textId="77777777" w:rsidR="003F0A64" w:rsidRDefault="003F0A64" w:rsidP="007C734C">
            <w:pPr>
              <w:pStyle w:val="Compact"/>
            </w:pPr>
            <w:r>
              <w:t>ND0</w:t>
            </w:r>
          </w:p>
        </w:tc>
        <w:tc>
          <w:tcPr>
            <w:tcW w:w="832" w:type="pct"/>
            <w:tcBorders>
              <w:bottom w:val="single" w:sz="4" w:space="0" w:color="auto"/>
            </w:tcBorders>
            <w:hideMark/>
          </w:tcPr>
          <w:p w14:paraId="7A4EF44C" w14:textId="77777777" w:rsidR="003F0A64" w:rsidRDefault="003F0A64" w:rsidP="007C734C">
            <w:pPr>
              <w:pStyle w:val="Compact"/>
              <w:jc w:val="center"/>
            </w:pPr>
            <w:r>
              <w:t>-0.0043</w:t>
            </w:r>
          </w:p>
        </w:tc>
        <w:tc>
          <w:tcPr>
            <w:tcW w:w="712" w:type="pct"/>
            <w:tcBorders>
              <w:bottom w:val="single" w:sz="4" w:space="0" w:color="auto"/>
            </w:tcBorders>
            <w:hideMark/>
          </w:tcPr>
          <w:p w14:paraId="41FEFA8D" w14:textId="77777777" w:rsidR="003F0A64" w:rsidRDefault="003F0A64" w:rsidP="007C734C">
            <w:pPr>
              <w:pStyle w:val="Compact"/>
              <w:jc w:val="center"/>
            </w:pPr>
            <w:r>
              <w:t>0.9957</w:t>
            </w:r>
          </w:p>
        </w:tc>
        <w:tc>
          <w:tcPr>
            <w:tcW w:w="847" w:type="pct"/>
            <w:tcBorders>
              <w:bottom w:val="single" w:sz="4" w:space="0" w:color="auto"/>
            </w:tcBorders>
            <w:hideMark/>
          </w:tcPr>
          <w:p w14:paraId="6DDEBF46" w14:textId="77777777" w:rsidR="003F0A64" w:rsidRDefault="003F0A64" w:rsidP="007C734C">
            <w:pPr>
              <w:pStyle w:val="Compact"/>
              <w:jc w:val="center"/>
            </w:pPr>
            <w:r>
              <w:t>0.0075</w:t>
            </w:r>
          </w:p>
        </w:tc>
        <w:tc>
          <w:tcPr>
            <w:tcW w:w="746" w:type="pct"/>
            <w:tcBorders>
              <w:bottom w:val="single" w:sz="4" w:space="0" w:color="auto"/>
            </w:tcBorders>
            <w:hideMark/>
          </w:tcPr>
          <w:p w14:paraId="155CC849" w14:textId="77777777" w:rsidR="003F0A64" w:rsidRDefault="003F0A64" w:rsidP="007C734C">
            <w:pPr>
              <w:pStyle w:val="Compact"/>
              <w:jc w:val="center"/>
            </w:pPr>
            <w:r>
              <w:t>-0.0190</w:t>
            </w:r>
          </w:p>
        </w:tc>
        <w:tc>
          <w:tcPr>
            <w:tcW w:w="746" w:type="pct"/>
            <w:tcBorders>
              <w:bottom w:val="single" w:sz="4" w:space="0" w:color="auto"/>
            </w:tcBorders>
            <w:hideMark/>
          </w:tcPr>
          <w:p w14:paraId="237C42B5" w14:textId="77777777" w:rsidR="003F0A64" w:rsidRDefault="003F0A64" w:rsidP="007C734C">
            <w:pPr>
              <w:pStyle w:val="Compact"/>
              <w:jc w:val="center"/>
            </w:pPr>
            <w:r>
              <w:t>0.0105</w:t>
            </w:r>
          </w:p>
        </w:tc>
      </w:tr>
    </w:tbl>
    <w:p w14:paraId="3AAD30A6" w14:textId="77777777" w:rsidR="003F0A64" w:rsidRDefault="003F0A64" w:rsidP="003F0A64">
      <w:pPr>
        <w:pStyle w:val="Caption"/>
        <w:jc w:val="left"/>
      </w:pPr>
      <w:r>
        <w:t>CIL indicates lower bound of 95% confidence interval and CIU indicates upper bound of 95% confidence interval</w:t>
      </w:r>
    </w:p>
    <w:p w14:paraId="0D1C325D" w14:textId="0DC4C7F2" w:rsidR="003F0A64" w:rsidRDefault="003F0A64" w:rsidP="003F0A64"/>
    <w:p w14:paraId="51373E31" w14:textId="4F59CF3E" w:rsidR="003F0A64" w:rsidRDefault="003F0A64" w:rsidP="003F0A64"/>
    <w:p w14:paraId="47DA1C33" w14:textId="77777777" w:rsidR="003F0A64" w:rsidRDefault="003F0A64" w:rsidP="003F0A64">
      <w:pPr>
        <w:keepNext/>
      </w:pPr>
      <w:r>
        <w:rPr>
          <w:noProof/>
        </w:rPr>
        <w:lastRenderedPageBreak/>
        <w:drawing>
          <wp:inline distT="0" distB="0" distL="0" distR="0" wp14:anchorId="4FDF38D2" wp14:editId="6071E0C3">
            <wp:extent cx="5882640" cy="3459480"/>
            <wp:effectExtent l="0" t="0" r="3810" b="762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5"/>
                    <a:stretch>
                      <a:fillRect/>
                    </a:stretch>
                  </pic:blipFill>
                  <pic:spPr bwMode="auto">
                    <a:xfrm>
                      <a:off x="0" y="0"/>
                      <a:ext cx="5882640" cy="3459480"/>
                    </a:xfrm>
                    <a:prstGeom prst="rect">
                      <a:avLst/>
                    </a:prstGeom>
                    <a:noFill/>
                    <a:ln w="9525">
                      <a:noFill/>
                      <a:headEnd/>
                      <a:tailEnd/>
                    </a:ln>
                  </pic:spPr>
                </pic:pic>
              </a:graphicData>
            </a:graphic>
          </wp:inline>
        </w:drawing>
      </w:r>
    </w:p>
    <w:p w14:paraId="1578A1AD" w14:textId="77777777" w:rsidR="003F0A64" w:rsidRDefault="003F0A64" w:rsidP="003F0A6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Changes of total numbers of drinks in 30-day periods</w:t>
      </w:r>
    </w:p>
    <w:p w14:paraId="201F2F3B" w14:textId="77777777" w:rsidR="003F0A64" w:rsidRDefault="003F0A64" w:rsidP="003F0A64">
      <w:pPr>
        <w:pStyle w:val="BodyText"/>
        <w:keepNext/>
        <w:jc w:val="center"/>
      </w:pPr>
      <w:r>
        <w:rPr>
          <w:noProof/>
        </w:rPr>
        <w:drawing>
          <wp:inline distT="0" distB="0" distL="0" distR="0" wp14:anchorId="75C18D63" wp14:editId="05367501">
            <wp:extent cx="4619625" cy="347472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6"/>
                    <a:stretch>
                      <a:fillRect/>
                    </a:stretch>
                  </pic:blipFill>
                  <pic:spPr bwMode="auto">
                    <a:xfrm>
                      <a:off x="0" y="0"/>
                      <a:ext cx="4619625" cy="3474720"/>
                    </a:xfrm>
                    <a:prstGeom prst="rect">
                      <a:avLst/>
                    </a:prstGeom>
                    <a:noFill/>
                    <a:ln w="9525">
                      <a:noFill/>
                      <a:headEnd/>
                      <a:tailEnd/>
                    </a:ln>
                  </pic:spPr>
                </pic:pic>
              </a:graphicData>
            </a:graphic>
          </wp:inline>
        </w:drawing>
      </w:r>
    </w:p>
    <w:p w14:paraId="6763ABC5" w14:textId="77777777" w:rsidR="003F0A64" w:rsidRPr="00600F97" w:rsidRDefault="003F0A64" w:rsidP="003F0A64">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Probabilities of relapse in different treatment groups</w:t>
      </w:r>
    </w:p>
    <w:p w14:paraId="43705783" w14:textId="77777777" w:rsidR="003F0A64" w:rsidRPr="003F0A64" w:rsidRDefault="003F0A64" w:rsidP="003F0A64"/>
    <w:p w14:paraId="1C6CC8CC" w14:textId="4E93335C" w:rsidR="003F0A64" w:rsidRPr="003F0A64" w:rsidRDefault="003F0A64" w:rsidP="003F0A64">
      <w:pPr>
        <w:pStyle w:val="Heading1"/>
      </w:pPr>
      <w:r>
        <w:lastRenderedPageBreak/>
        <w:t>Appendix</w:t>
      </w:r>
    </w:p>
    <w:p w14:paraId="2077E58A" w14:textId="4AAC5521" w:rsidR="003F0A64" w:rsidRPr="001A42EF" w:rsidRDefault="003F0A64" w:rsidP="001A42EF">
      <w:bookmarkStart w:id="8" w:name="_GoBack"/>
      <w:bookmarkEnd w:id="8"/>
    </w:p>
    <w:p w14:paraId="22325981" w14:textId="77777777" w:rsidR="009B28E2" w:rsidRPr="009B28E2" w:rsidRDefault="009B28E2" w:rsidP="009B28E2">
      <w:pPr>
        <w:rPr>
          <w:b/>
          <w:bCs/>
          <w:sz w:val="28"/>
          <w:szCs w:val="28"/>
        </w:rPr>
      </w:pPr>
    </w:p>
    <w:sectPr w:rsidR="009B28E2" w:rsidRPr="009B2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5338"/>
    <w:multiLevelType w:val="multilevel"/>
    <w:tmpl w:val="5D564AC8"/>
    <w:lvl w:ilvl="0">
      <w:start w:val="1"/>
      <w:numFmt w:val="upperRoman"/>
      <w:lvlText w:val="%1."/>
      <w:lvlJc w:val="righ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7E82C62"/>
    <w:multiLevelType w:val="hybridMultilevel"/>
    <w:tmpl w:val="75C8D4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F01BA3"/>
    <w:multiLevelType w:val="multilevel"/>
    <w:tmpl w:val="FE7C6E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E2"/>
    <w:rsid w:val="0002156F"/>
    <w:rsid w:val="0007791E"/>
    <w:rsid w:val="000B0722"/>
    <w:rsid w:val="000B5EE8"/>
    <w:rsid w:val="001A42EF"/>
    <w:rsid w:val="001D4F08"/>
    <w:rsid w:val="001F1824"/>
    <w:rsid w:val="0024728C"/>
    <w:rsid w:val="00275355"/>
    <w:rsid w:val="002A74ED"/>
    <w:rsid w:val="00365668"/>
    <w:rsid w:val="003E3A29"/>
    <w:rsid w:val="003F0A64"/>
    <w:rsid w:val="00485C21"/>
    <w:rsid w:val="00490343"/>
    <w:rsid w:val="004977CD"/>
    <w:rsid w:val="004C1115"/>
    <w:rsid w:val="00537BFB"/>
    <w:rsid w:val="005E4B37"/>
    <w:rsid w:val="00600F97"/>
    <w:rsid w:val="00634406"/>
    <w:rsid w:val="0064456E"/>
    <w:rsid w:val="00653B03"/>
    <w:rsid w:val="00670424"/>
    <w:rsid w:val="00684E97"/>
    <w:rsid w:val="006A12B6"/>
    <w:rsid w:val="006D0BD2"/>
    <w:rsid w:val="007E69AC"/>
    <w:rsid w:val="00816779"/>
    <w:rsid w:val="008646B5"/>
    <w:rsid w:val="008712A1"/>
    <w:rsid w:val="008864C5"/>
    <w:rsid w:val="008E4078"/>
    <w:rsid w:val="009511C4"/>
    <w:rsid w:val="009B28E2"/>
    <w:rsid w:val="009F3716"/>
    <w:rsid w:val="00AA70ED"/>
    <w:rsid w:val="00B75059"/>
    <w:rsid w:val="00BC7D50"/>
    <w:rsid w:val="00C266A6"/>
    <w:rsid w:val="00CF3B4B"/>
    <w:rsid w:val="00D71856"/>
    <w:rsid w:val="00DE30A8"/>
    <w:rsid w:val="00E52361"/>
    <w:rsid w:val="00F0141D"/>
    <w:rsid w:val="00F13E78"/>
    <w:rsid w:val="00F33198"/>
    <w:rsid w:val="00FB2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3891"/>
  <w15:chartTrackingRefBased/>
  <w15:docId w15:val="{3C21C395-F7E9-4D9A-A14E-C84FBF47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64"/>
    <w:pPr>
      <w:spacing w:line="480" w:lineRule="auto"/>
      <w:jc w:val="both"/>
    </w:pPr>
    <w:rPr>
      <w:sz w:val="24"/>
    </w:rPr>
  </w:style>
  <w:style w:type="paragraph" w:styleId="Heading1">
    <w:name w:val="heading 1"/>
    <w:basedOn w:val="Normal"/>
    <w:next w:val="Normal"/>
    <w:link w:val="Heading1Char"/>
    <w:uiPriority w:val="9"/>
    <w:qFormat/>
    <w:rsid w:val="003F0A64"/>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A64"/>
    <w:pPr>
      <w:spacing w:before="360" w:after="36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3F0A64"/>
    <w:rPr>
      <w:rFonts w:asciiTheme="majorHAnsi" w:eastAsiaTheme="majorEastAsia" w:hAnsiTheme="majorHAnsi" w:cstheme="majorBidi"/>
      <w:spacing w:val="-10"/>
      <w:kern w:val="28"/>
      <w:sz w:val="44"/>
      <w:szCs w:val="56"/>
    </w:rPr>
  </w:style>
  <w:style w:type="paragraph" w:styleId="ListParagraph">
    <w:name w:val="List Paragraph"/>
    <w:basedOn w:val="Normal"/>
    <w:uiPriority w:val="34"/>
    <w:qFormat/>
    <w:rsid w:val="00485C21"/>
    <w:pPr>
      <w:ind w:left="720"/>
      <w:contextualSpacing/>
    </w:pPr>
  </w:style>
  <w:style w:type="paragraph" w:customStyle="1" w:styleId="Compact">
    <w:name w:val="Compact"/>
    <w:basedOn w:val="BodyText"/>
    <w:qFormat/>
    <w:rsid w:val="00F33198"/>
    <w:pPr>
      <w:spacing w:before="36" w:after="36" w:line="240" w:lineRule="auto"/>
    </w:pPr>
    <w:rPr>
      <w:rFonts w:eastAsiaTheme="minorHAnsi"/>
      <w:szCs w:val="24"/>
      <w:lang w:eastAsia="en-US"/>
    </w:rPr>
  </w:style>
  <w:style w:type="table" w:customStyle="1" w:styleId="Table">
    <w:name w:val="Table"/>
    <w:semiHidden/>
    <w:unhideWhenUsed/>
    <w:qFormat/>
    <w:rsid w:val="00F33198"/>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paragraph" w:styleId="BodyText">
    <w:name w:val="Body Text"/>
    <w:basedOn w:val="Normal"/>
    <w:link w:val="BodyTextChar"/>
    <w:uiPriority w:val="99"/>
    <w:unhideWhenUsed/>
    <w:rsid w:val="00F33198"/>
    <w:pPr>
      <w:spacing w:after="120"/>
    </w:pPr>
  </w:style>
  <w:style w:type="character" w:customStyle="1" w:styleId="BodyTextChar">
    <w:name w:val="Body Text Char"/>
    <w:basedOn w:val="DefaultParagraphFont"/>
    <w:link w:val="BodyText"/>
    <w:uiPriority w:val="99"/>
    <w:rsid w:val="00F33198"/>
    <w:rPr>
      <w:sz w:val="24"/>
    </w:rPr>
  </w:style>
  <w:style w:type="table" w:styleId="TableGrid">
    <w:name w:val="Table Grid"/>
    <w:basedOn w:val="TableNormal"/>
    <w:uiPriority w:val="39"/>
    <w:rsid w:val="00F33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198"/>
    <w:pPr>
      <w:spacing w:after="200" w:line="240" w:lineRule="auto"/>
      <w:jc w:val="center"/>
    </w:pPr>
    <w:rPr>
      <w:iCs/>
      <w:sz w:val="18"/>
      <w:szCs w:val="18"/>
    </w:rPr>
  </w:style>
  <w:style w:type="character" w:styleId="PlaceholderText">
    <w:name w:val="Placeholder Text"/>
    <w:basedOn w:val="DefaultParagraphFont"/>
    <w:uiPriority w:val="99"/>
    <w:semiHidden/>
    <w:rsid w:val="00C266A6"/>
    <w:rPr>
      <w:color w:val="808080"/>
    </w:rPr>
  </w:style>
  <w:style w:type="paragraph" w:customStyle="1" w:styleId="FirstParagraph">
    <w:name w:val="First Paragraph"/>
    <w:basedOn w:val="BodyText"/>
    <w:next w:val="BodyText"/>
    <w:qFormat/>
    <w:rsid w:val="0064456E"/>
    <w:pPr>
      <w:spacing w:before="180" w:after="180" w:line="240" w:lineRule="auto"/>
    </w:pPr>
    <w:rPr>
      <w:rFonts w:eastAsiaTheme="minorHAnsi"/>
      <w:szCs w:val="24"/>
      <w:lang w:eastAsia="en-US"/>
    </w:rPr>
  </w:style>
  <w:style w:type="table" w:customStyle="1" w:styleId="Table1">
    <w:name w:val="Table1"/>
    <w:semiHidden/>
    <w:unhideWhenUsed/>
    <w:qFormat/>
    <w:rsid w:val="003E3A29"/>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F0A64"/>
    <w:rPr>
      <w:rFonts w:eastAsiaTheme="majorEastAsia"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9905">
      <w:bodyDiv w:val="1"/>
      <w:marLeft w:val="0"/>
      <w:marRight w:val="0"/>
      <w:marTop w:val="0"/>
      <w:marBottom w:val="0"/>
      <w:divBdr>
        <w:top w:val="none" w:sz="0" w:space="0" w:color="auto"/>
        <w:left w:val="none" w:sz="0" w:space="0" w:color="auto"/>
        <w:bottom w:val="none" w:sz="0" w:space="0" w:color="auto"/>
        <w:right w:val="none" w:sz="0" w:space="0" w:color="auto"/>
      </w:divBdr>
    </w:div>
    <w:div w:id="337923681">
      <w:bodyDiv w:val="1"/>
      <w:marLeft w:val="0"/>
      <w:marRight w:val="0"/>
      <w:marTop w:val="0"/>
      <w:marBottom w:val="0"/>
      <w:divBdr>
        <w:top w:val="none" w:sz="0" w:space="0" w:color="auto"/>
        <w:left w:val="none" w:sz="0" w:space="0" w:color="auto"/>
        <w:bottom w:val="none" w:sz="0" w:space="0" w:color="auto"/>
        <w:right w:val="none" w:sz="0" w:space="0" w:color="auto"/>
      </w:divBdr>
      <w:divsChild>
        <w:div w:id="675766594">
          <w:marLeft w:val="0"/>
          <w:marRight w:val="0"/>
          <w:marTop w:val="100"/>
          <w:marBottom w:val="100"/>
          <w:divBdr>
            <w:top w:val="none" w:sz="0" w:space="0" w:color="auto"/>
            <w:left w:val="none" w:sz="0" w:space="0" w:color="auto"/>
            <w:bottom w:val="none" w:sz="0" w:space="0" w:color="auto"/>
            <w:right w:val="none" w:sz="0" w:space="0" w:color="auto"/>
          </w:divBdr>
          <w:divsChild>
            <w:div w:id="896742284">
              <w:marLeft w:val="0"/>
              <w:marRight w:val="0"/>
              <w:marTop w:val="750"/>
              <w:marBottom w:val="750"/>
              <w:divBdr>
                <w:top w:val="none" w:sz="0" w:space="0" w:color="auto"/>
                <w:left w:val="none" w:sz="0" w:space="0" w:color="auto"/>
                <w:bottom w:val="none" w:sz="0" w:space="0" w:color="auto"/>
                <w:right w:val="none" w:sz="0" w:space="0" w:color="auto"/>
              </w:divBdr>
              <w:divsChild>
                <w:div w:id="714281396">
                  <w:marLeft w:val="0"/>
                  <w:marRight w:val="0"/>
                  <w:marTop w:val="0"/>
                  <w:marBottom w:val="0"/>
                  <w:divBdr>
                    <w:top w:val="none" w:sz="0" w:space="0" w:color="auto"/>
                    <w:left w:val="none" w:sz="0" w:space="0" w:color="auto"/>
                    <w:bottom w:val="none" w:sz="0" w:space="0" w:color="auto"/>
                    <w:right w:val="none" w:sz="0" w:space="0" w:color="auto"/>
                  </w:divBdr>
                  <w:divsChild>
                    <w:div w:id="507791072">
                      <w:marLeft w:val="0"/>
                      <w:marRight w:val="0"/>
                      <w:marTop w:val="0"/>
                      <w:marBottom w:val="0"/>
                      <w:divBdr>
                        <w:top w:val="none" w:sz="0" w:space="0" w:color="auto"/>
                        <w:left w:val="none" w:sz="0" w:space="0" w:color="auto"/>
                        <w:bottom w:val="none" w:sz="0" w:space="0" w:color="auto"/>
                        <w:right w:val="none" w:sz="0" w:space="0" w:color="auto"/>
                      </w:divBdr>
                      <w:divsChild>
                        <w:div w:id="1090084317">
                          <w:marLeft w:val="0"/>
                          <w:marRight w:val="0"/>
                          <w:marTop w:val="0"/>
                          <w:marBottom w:val="0"/>
                          <w:divBdr>
                            <w:top w:val="none" w:sz="0" w:space="0" w:color="auto"/>
                            <w:left w:val="none" w:sz="0" w:space="0" w:color="auto"/>
                            <w:bottom w:val="none" w:sz="0" w:space="0" w:color="auto"/>
                            <w:right w:val="none" w:sz="0" w:space="0" w:color="auto"/>
                          </w:divBdr>
                          <w:divsChild>
                            <w:div w:id="746268770">
                              <w:marLeft w:val="0"/>
                              <w:marRight w:val="-13770"/>
                              <w:marTop w:val="0"/>
                              <w:marBottom w:val="0"/>
                              <w:divBdr>
                                <w:top w:val="none" w:sz="0" w:space="0" w:color="auto"/>
                                <w:left w:val="none" w:sz="0" w:space="0" w:color="auto"/>
                                <w:bottom w:val="none" w:sz="0" w:space="0" w:color="auto"/>
                                <w:right w:val="none" w:sz="0" w:space="0" w:color="auto"/>
                              </w:divBdr>
                            </w:div>
                            <w:div w:id="1260874658">
                              <w:marLeft w:val="0"/>
                              <w:marRight w:val="-13770"/>
                              <w:marTop w:val="0"/>
                              <w:marBottom w:val="0"/>
                              <w:divBdr>
                                <w:top w:val="none" w:sz="0" w:space="0" w:color="auto"/>
                                <w:left w:val="none" w:sz="0" w:space="0" w:color="auto"/>
                                <w:bottom w:val="none" w:sz="0" w:space="0" w:color="auto"/>
                                <w:right w:val="none" w:sz="0" w:space="0" w:color="auto"/>
                              </w:divBdr>
                            </w:div>
                            <w:div w:id="1211578826">
                              <w:marLeft w:val="0"/>
                              <w:marRight w:val="-13770"/>
                              <w:marTop w:val="0"/>
                              <w:marBottom w:val="0"/>
                              <w:divBdr>
                                <w:top w:val="none" w:sz="0" w:space="0" w:color="auto"/>
                                <w:left w:val="none" w:sz="0" w:space="0" w:color="auto"/>
                                <w:bottom w:val="none" w:sz="0" w:space="0" w:color="auto"/>
                                <w:right w:val="none" w:sz="0" w:space="0" w:color="auto"/>
                              </w:divBdr>
                            </w:div>
                            <w:div w:id="35723902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17412">
          <w:marLeft w:val="0"/>
          <w:marRight w:val="0"/>
          <w:marTop w:val="100"/>
          <w:marBottom w:val="100"/>
          <w:divBdr>
            <w:top w:val="dashed" w:sz="6" w:space="0" w:color="A8A8A8"/>
            <w:left w:val="none" w:sz="0" w:space="0" w:color="auto"/>
            <w:bottom w:val="none" w:sz="0" w:space="0" w:color="auto"/>
            <w:right w:val="none" w:sz="0" w:space="0" w:color="auto"/>
          </w:divBdr>
          <w:divsChild>
            <w:div w:id="1878273914">
              <w:marLeft w:val="0"/>
              <w:marRight w:val="0"/>
              <w:marTop w:val="750"/>
              <w:marBottom w:val="750"/>
              <w:divBdr>
                <w:top w:val="none" w:sz="0" w:space="0" w:color="auto"/>
                <w:left w:val="none" w:sz="0" w:space="0" w:color="auto"/>
                <w:bottom w:val="none" w:sz="0" w:space="0" w:color="auto"/>
                <w:right w:val="none" w:sz="0" w:space="0" w:color="auto"/>
              </w:divBdr>
              <w:divsChild>
                <w:div w:id="1736582590">
                  <w:marLeft w:val="0"/>
                  <w:marRight w:val="0"/>
                  <w:marTop w:val="0"/>
                  <w:marBottom w:val="0"/>
                  <w:divBdr>
                    <w:top w:val="none" w:sz="0" w:space="0" w:color="auto"/>
                    <w:left w:val="none" w:sz="0" w:space="0" w:color="auto"/>
                    <w:bottom w:val="none" w:sz="0" w:space="0" w:color="auto"/>
                    <w:right w:val="none" w:sz="0" w:space="0" w:color="auto"/>
                  </w:divBdr>
                  <w:divsChild>
                    <w:div w:id="799761791">
                      <w:marLeft w:val="0"/>
                      <w:marRight w:val="0"/>
                      <w:marTop w:val="0"/>
                      <w:marBottom w:val="0"/>
                      <w:divBdr>
                        <w:top w:val="none" w:sz="0" w:space="0" w:color="auto"/>
                        <w:left w:val="none" w:sz="0" w:space="0" w:color="auto"/>
                        <w:bottom w:val="none" w:sz="0" w:space="0" w:color="auto"/>
                        <w:right w:val="none" w:sz="0" w:space="0" w:color="auto"/>
                      </w:divBdr>
                      <w:divsChild>
                        <w:div w:id="1014454529">
                          <w:marLeft w:val="0"/>
                          <w:marRight w:val="0"/>
                          <w:marTop w:val="0"/>
                          <w:marBottom w:val="0"/>
                          <w:divBdr>
                            <w:top w:val="none" w:sz="0" w:space="0" w:color="auto"/>
                            <w:left w:val="none" w:sz="0" w:space="0" w:color="auto"/>
                            <w:bottom w:val="none" w:sz="0" w:space="0" w:color="auto"/>
                            <w:right w:val="none" w:sz="0" w:space="0" w:color="auto"/>
                          </w:divBdr>
                          <w:divsChild>
                            <w:div w:id="1427310345">
                              <w:marLeft w:val="0"/>
                              <w:marRight w:val="-13770"/>
                              <w:marTop w:val="0"/>
                              <w:marBottom w:val="0"/>
                              <w:divBdr>
                                <w:top w:val="none" w:sz="0" w:space="0" w:color="auto"/>
                                <w:left w:val="none" w:sz="0" w:space="0" w:color="auto"/>
                                <w:bottom w:val="none" w:sz="0" w:space="0" w:color="auto"/>
                                <w:right w:val="none" w:sz="0" w:space="0" w:color="auto"/>
                              </w:divBdr>
                            </w:div>
                            <w:div w:id="2073385330">
                              <w:marLeft w:val="0"/>
                              <w:marRight w:val="-13770"/>
                              <w:marTop w:val="0"/>
                              <w:marBottom w:val="0"/>
                              <w:divBdr>
                                <w:top w:val="none" w:sz="0" w:space="0" w:color="auto"/>
                                <w:left w:val="none" w:sz="0" w:space="0" w:color="auto"/>
                                <w:bottom w:val="none" w:sz="0" w:space="0" w:color="auto"/>
                                <w:right w:val="none" w:sz="0" w:space="0" w:color="auto"/>
                              </w:divBdr>
                            </w:div>
                            <w:div w:id="155414480">
                              <w:marLeft w:val="0"/>
                              <w:marRight w:val="-13770"/>
                              <w:marTop w:val="0"/>
                              <w:marBottom w:val="0"/>
                              <w:divBdr>
                                <w:top w:val="none" w:sz="0" w:space="0" w:color="auto"/>
                                <w:left w:val="none" w:sz="0" w:space="0" w:color="auto"/>
                                <w:bottom w:val="none" w:sz="0" w:space="0" w:color="auto"/>
                                <w:right w:val="none" w:sz="0" w:space="0" w:color="auto"/>
                              </w:divBdr>
                            </w:div>
                            <w:div w:id="881097378">
                              <w:marLeft w:val="0"/>
                              <w:marRight w:val="-13770"/>
                              <w:marTop w:val="0"/>
                              <w:marBottom w:val="0"/>
                              <w:divBdr>
                                <w:top w:val="none" w:sz="0" w:space="0" w:color="auto"/>
                                <w:left w:val="none" w:sz="0" w:space="0" w:color="auto"/>
                                <w:bottom w:val="none" w:sz="0" w:space="0" w:color="auto"/>
                                <w:right w:val="none" w:sz="0" w:space="0" w:color="auto"/>
                              </w:divBdr>
                            </w:div>
                            <w:div w:id="941884891">
                              <w:marLeft w:val="0"/>
                              <w:marRight w:val="-13770"/>
                              <w:marTop w:val="0"/>
                              <w:marBottom w:val="0"/>
                              <w:divBdr>
                                <w:top w:val="none" w:sz="0" w:space="0" w:color="auto"/>
                                <w:left w:val="none" w:sz="0" w:space="0" w:color="auto"/>
                                <w:bottom w:val="none" w:sz="0" w:space="0" w:color="auto"/>
                                <w:right w:val="none" w:sz="0" w:space="0" w:color="auto"/>
                              </w:divBdr>
                            </w:div>
                            <w:div w:id="857080958">
                              <w:marLeft w:val="0"/>
                              <w:marRight w:val="-13770"/>
                              <w:marTop w:val="0"/>
                              <w:marBottom w:val="0"/>
                              <w:divBdr>
                                <w:top w:val="none" w:sz="0" w:space="0" w:color="auto"/>
                                <w:left w:val="none" w:sz="0" w:space="0" w:color="auto"/>
                                <w:bottom w:val="none" w:sz="0" w:space="0" w:color="auto"/>
                                <w:right w:val="none" w:sz="0" w:space="0" w:color="auto"/>
                              </w:divBdr>
                            </w:div>
                            <w:div w:id="1287463995">
                              <w:marLeft w:val="0"/>
                              <w:marRight w:val="-13770"/>
                              <w:marTop w:val="0"/>
                              <w:marBottom w:val="0"/>
                              <w:divBdr>
                                <w:top w:val="none" w:sz="0" w:space="0" w:color="auto"/>
                                <w:left w:val="none" w:sz="0" w:space="0" w:color="auto"/>
                                <w:bottom w:val="none" w:sz="0" w:space="0" w:color="auto"/>
                                <w:right w:val="none" w:sz="0" w:space="0" w:color="auto"/>
                              </w:divBdr>
                            </w:div>
                            <w:div w:id="1959869479">
                              <w:marLeft w:val="0"/>
                              <w:marRight w:val="-13770"/>
                              <w:marTop w:val="0"/>
                              <w:marBottom w:val="0"/>
                              <w:divBdr>
                                <w:top w:val="none" w:sz="0" w:space="0" w:color="auto"/>
                                <w:left w:val="none" w:sz="0" w:space="0" w:color="auto"/>
                                <w:bottom w:val="none" w:sz="0" w:space="0" w:color="auto"/>
                                <w:right w:val="none" w:sz="0" w:space="0" w:color="auto"/>
                              </w:divBdr>
                            </w:div>
                            <w:div w:id="720976602">
                              <w:marLeft w:val="0"/>
                              <w:marRight w:val="-13770"/>
                              <w:marTop w:val="0"/>
                              <w:marBottom w:val="0"/>
                              <w:divBdr>
                                <w:top w:val="none" w:sz="0" w:space="0" w:color="auto"/>
                                <w:left w:val="none" w:sz="0" w:space="0" w:color="auto"/>
                                <w:bottom w:val="none" w:sz="0" w:space="0" w:color="auto"/>
                                <w:right w:val="none" w:sz="0" w:space="0" w:color="auto"/>
                              </w:divBdr>
                            </w:div>
                            <w:div w:id="1220702154">
                              <w:marLeft w:val="0"/>
                              <w:marRight w:val="-13770"/>
                              <w:marTop w:val="0"/>
                              <w:marBottom w:val="0"/>
                              <w:divBdr>
                                <w:top w:val="none" w:sz="0" w:space="0" w:color="auto"/>
                                <w:left w:val="none" w:sz="0" w:space="0" w:color="auto"/>
                                <w:bottom w:val="none" w:sz="0" w:space="0" w:color="auto"/>
                                <w:right w:val="none" w:sz="0" w:space="0" w:color="auto"/>
                              </w:divBdr>
                            </w:div>
                            <w:div w:id="1186405386">
                              <w:marLeft w:val="0"/>
                              <w:marRight w:val="-13770"/>
                              <w:marTop w:val="0"/>
                              <w:marBottom w:val="0"/>
                              <w:divBdr>
                                <w:top w:val="none" w:sz="0" w:space="0" w:color="auto"/>
                                <w:left w:val="none" w:sz="0" w:space="0" w:color="auto"/>
                                <w:bottom w:val="none" w:sz="0" w:space="0" w:color="auto"/>
                                <w:right w:val="none" w:sz="0" w:space="0" w:color="auto"/>
                              </w:divBdr>
                            </w:div>
                            <w:div w:id="939876196">
                              <w:marLeft w:val="0"/>
                              <w:marRight w:val="-13770"/>
                              <w:marTop w:val="0"/>
                              <w:marBottom w:val="0"/>
                              <w:divBdr>
                                <w:top w:val="none" w:sz="0" w:space="0" w:color="auto"/>
                                <w:left w:val="none" w:sz="0" w:space="0" w:color="auto"/>
                                <w:bottom w:val="none" w:sz="0" w:space="0" w:color="auto"/>
                                <w:right w:val="none" w:sz="0" w:space="0" w:color="auto"/>
                              </w:divBdr>
                            </w:div>
                            <w:div w:id="681394240">
                              <w:marLeft w:val="0"/>
                              <w:marRight w:val="-13770"/>
                              <w:marTop w:val="0"/>
                              <w:marBottom w:val="0"/>
                              <w:divBdr>
                                <w:top w:val="none" w:sz="0" w:space="0" w:color="auto"/>
                                <w:left w:val="none" w:sz="0" w:space="0" w:color="auto"/>
                                <w:bottom w:val="none" w:sz="0" w:space="0" w:color="auto"/>
                                <w:right w:val="none" w:sz="0" w:space="0" w:color="auto"/>
                              </w:divBdr>
                            </w:div>
                            <w:div w:id="2055152408">
                              <w:marLeft w:val="0"/>
                              <w:marRight w:val="-13770"/>
                              <w:marTop w:val="0"/>
                              <w:marBottom w:val="0"/>
                              <w:divBdr>
                                <w:top w:val="none" w:sz="0" w:space="0" w:color="auto"/>
                                <w:left w:val="none" w:sz="0" w:space="0" w:color="auto"/>
                                <w:bottom w:val="none" w:sz="0" w:space="0" w:color="auto"/>
                                <w:right w:val="none" w:sz="0" w:space="0" w:color="auto"/>
                              </w:divBdr>
                            </w:div>
                            <w:div w:id="1330714104">
                              <w:marLeft w:val="0"/>
                              <w:marRight w:val="-13770"/>
                              <w:marTop w:val="0"/>
                              <w:marBottom w:val="0"/>
                              <w:divBdr>
                                <w:top w:val="none" w:sz="0" w:space="0" w:color="auto"/>
                                <w:left w:val="none" w:sz="0" w:space="0" w:color="auto"/>
                                <w:bottom w:val="none" w:sz="0" w:space="0" w:color="auto"/>
                                <w:right w:val="none" w:sz="0" w:space="0" w:color="auto"/>
                              </w:divBdr>
                            </w:div>
                            <w:div w:id="1563172429">
                              <w:marLeft w:val="0"/>
                              <w:marRight w:val="-13770"/>
                              <w:marTop w:val="0"/>
                              <w:marBottom w:val="0"/>
                              <w:divBdr>
                                <w:top w:val="none" w:sz="0" w:space="0" w:color="auto"/>
                                <w:left w:val="none" w:sz="0" w:space="0" w:color="auto"/>
                                <w:bottom w:val="none" w:sz="0" w:space="0" w:color="auto"/>
                                <w:right w:val="none" w:sz="0" w:space="0" w:color="auto"/>
                              </w:divBdr>
                            </w:div>
                            <w:div w:id="14150349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447819">
      <w:bodyDiv w:val="1"/>
      <w:marLeft w:val="0"/>
      <w:marRight w:val="0"/>
      <w:marTop w:val="0"/>
      <w:marBottom w:val="0"/>
      <w:divBdr>
        <w:top w:val="none" w:sz="0" w:space="0" w:color="auto"/>
        <w:left w:val="none" w:sz="0" w:space="0" w:color="auto"/>
        <w:bottom w:val="none" w:sz="0" w:space="0" w:color="auto"/>
        <w:right w:val="none" w:sz="0" w:space="0" w:color="auto"/>
      </w:divBdr>
    </w:div>
    <w:div w:id="432700935">
      <w:bodyDiv w:val="1"/>
      <w:marLeft w:val="0"/>
      <w:marRight w:val="0"/>
      <w:marTop w:val="0"/>
      <w:marBottom w:val="0"/>
      <w:divBdr>
        <w:top w:val="none" w:sz="0" w:space="0" w:color="auto"/>
        <w:left w:val="none" w:sz="0" w:space="0" w:color="auto"/>
        <w:bottom w:val="none" w:sz="0" w:space="0" w:color="auto"/>
        <w:right w:val="none" w:sz="0" w:space="0" w:color="auto"/>
      </w:divBdr>
    </w:div>
    <w:div w:id="436290313">
      <w:bodyDiv w:val="1"/>
      <w:marLeft w:val="0"/>
      <w:marRight w:val="0"/>
      <w:marTop w:val="0"/>
      <w:marBottom w:val="0"/>
      <w:divBdr>
        <w:top w:val="none" w:sz="0" w:space="0" w:color="auto"/>
        <w:left w:val="none" w:sz="0" w:space="0" w:color="auto"/>
        <w:bottom w:val="none" w:sz="0" w:space="0" w:color="auto"/>
        <w:right w:val="none" w:sz="0" w:space="0" w:color="auto"/>
      </w:divBdr>
    </w:div>
    <w:div w:id="553004641">
      <w:bodyDiv w:val="1"/>
      <w:marLeft w:val="0"/>
      <w:marRight w:val="0"/>
      <w:marTop w:val="0"/>
      <w:marBottom w:val="0"/>
      <w:divBdr>
        <w:top w:val="none" w:sz="0" w:space="0" w:color="auto"/>
        <w:left w:val="none" w:sz="0" w:space="0" w:color="auto"/>
        <w:bottom w:val="none" w:sz="0" w:space="0" w:color="auto"/>
        <w:right w:val="none" w:sz="0" w:space="0" w:color="auto"/>
      </w:divBdr>
    </w:div>
    <w:div w:id="732506719">
      <w:bodyDiv w:val="1"/>
      <w:marLeft w:val="0"/>
      <w:marRight w:val="0"/>
      <w:marTop w:val="0"/>
      <w:marBottom w:val="0"/>
      <w:divBdr>
        <w:top w:val="none" w:sz="0" w:space="0" w:color="auto"/>
        <w:left w:val="none" w:sz="0" w:space="0" w:color="auto"/>
        <w:bottom w:val="none" w:sz="0" w:space="0" w:color="auto"/>
        <w:right w:val="none" w:sz="0" w:space="0" w:color="auto"/>
      </w:divBdr>
    </w:div>
    <w:div w:id="832061534">
      <w:bodyDiv w:val="1"/>
      <w:marLeft w:val="0"/>
      <w:marRight w:val="0"/>
      <w:marTop w:val="0"/>
      <w:marBottom w:val="0"/>
      <w:divBdr>
        <w:top w:val="none" w:sz="0" w:space="0" w:color="auto"/>
        <w:left w:val="none" w:sz="0" w:space="0" w:color="auto"/>
        <w:bottom w:val="none" w:sz="0" w:space="0" w:color="auto"/>
        <w:right w:val="none" w:sz="0" w:space="0" w:color="auto"/>
      </w:divBdr>
    </w:div>
    <w:div w:id="845510677">
      <w:bodyDiv w:val="1"/>
      <w:marLeft w:val="0"/>
      <w:marRight w:val="0"/>
      <w:marTop w:val="0"/>
      <w:marBottom w:val="0"/>
      <w:divBdr>
        <w:top w:val="none" w:sz="0" w:space="0" w:color="auto"/>
        <w:left w:val="none" w:sz="0" w:space="0" w:color="auto"/>
        <w:bottom w:val="none" w:sz="0" w:space="0" w:color="auto"/>
        <w:right w:val="none" w:sz="0" w:space="0" w:color="auto"/>
      </w:divBdr>
    </w:div>
    <w:div w:id="873078828">
      <w:bodyDiv w:val="1"/>
      <w:marLeft w:val="0"/>
      <w:marRight w:val="0"/>
      <w:marTop w:val="0"/>
      <w:marBottom w:val="0"/>
      <w:divBdr>
        <w:top w:val="none" w:sz="0" w:space="0" w:color="auto"/>
        <w:left w:val="none" w:sz="0" w:space="0" w:color="auto"/>
        <w:bottom w:val="none" w:sz="0" w:space="0" w:color="auto"/>
        <w:right w:val="none" w:sz="0" w:space="0" w:color="auto"/>
      </w:divBdr>
    </w:div>
    <w:div w:id="1020086836">
      <w:bodyDiv w:val="1"/>
      <w:marLeft w:val="0"/>
      <w:marRight w:val="0"/>
      <w:marTop w:val="0"/>
      <w:marBottom w:val="0"/>
      <w:divBdr>
        <w:top w:val="none" w:sz="0" w:space="0" w:color="auto"/>
        <w:left w:val="none" w:sz="0" w:space="0" w:color="auto"/>
        <w:bottom w:val="none" w:sz="0" w:space="0" w:color="auto"/>
        <w:right w:val="none" w:sz="0" w:space="0" w:color="auto"/>
      </w:divBdr>
    </w:div>
    <w:div w:id="1022122402">
      <w:bodyDiv w:val="1"/>
      <w:marLeft w:val="0"/>
      <w:marRight w:val="0"/>
      <w:marTop w:val="0"/>
      <w:marBottom w:val="0"/>
      <w:divBdr>
        <w:top w:val="none" w:sz="0" w:space="0" w:color="auto"/>
        <w:left w:val="none" w:sz="0" w:space="0" w:color="auto"/>
        <w:bottom w:val="none" w:sz="0" w:space="0" w:color="auto"/>
        <w:right w:val="none" w:sz="0" w:space="0" w:color="auto"/>
      </w:divBdr>
    </w:div>
    <w:div w:id="1168251053">
      <w:bodyDiv w:val="1"/>
      <w:marLeft w:val="0"/>
      <w:marRight w:val="0"/>
      <w:marTop w:val="0"/>
      <w:marBottom w:val="0"/>
      <w:divBdr>
        <w:top w:val="none" w:sz="0" w:space="0" w:color="auto"/>
        <w:left w:val="none" w:sz="0" w:space="0" w:color="auto"/>
        <w:bottom w:val="none" w:sz="0" w:space="0" w:color="auto"/>
        <w:right w:val="none" w:sz="0" w:space="0" w:color="auto"/>
      </w:divBdr>
    </w:div>
    <w:div w:id="1315137849">
      <w:bodyDiv w:val="1"/>
      <w:marLeft w:val="0"/>
      <w:marRight w:val="0"/>
      <w:marTop w:val="0"/>
      <w:marBottom w:val="0"/>
      <w:divBdr>
        <w:top w:val="none" w:sz="0" w:space="0" w:color="auto"/>
        <w:left w:val="none" w:sz="0" w:space="0" w:color="auto"/>
        <w:bottom w:val="none" w:sz="0" w:space="0" w:color="auto"/>
        <w:right w:val="none" w:sz="0" w:space="0" w:color="auto"/>
      </w:divBdr>
    </w:div>
    <w:div w:id="1329400645">
      <w:bodyDiv w:val="1"/>
      <w:marLeft w:val="0"/>
      <w:marRight w:val="0"/>
      <w:marTop w:val="0"/>
      <w:marBottom w:val="0"/>
      <w:divBdr>
        <w:top w:val="none" w:sz="0" w:space="0" w:color="auto"/>
        <w:left w:val="none" w:sz="0" w:space="0" w:color="auto"/>
        <w:bottom w:val="none" w:sz="0" w:space="0" w:color="auto"/>
        <w:right w:val="none" w:sz="0" w:space="0" w:color="auto"/>
      </w:divBdr>
    </w:div>
    <w:div w:id="1366518239">
      <w:bodyDiv w:val="1"/>
      <w:marLeft w:val="0"/>
      <w:marRight w:val="0"/>
      <w:marTop w:val="0"/>
      <w:marBottom w:val="0"/>
      <w:divBdr>
        <w:top w:val="none" w:sz="0" w:space="0" w:color="auto"/>
        <w:left w:val="none" w:sz="0" w:space="0" w:color="auto"/>
        <w:bottom w:val="none" w:sz="0" w:space="0" w:color="auto"/>
        <w:right w:val="none" w:sz="0" w:space="0" w:color="auto"/>
      </w:divBdr>
    </w:div>
    <w:div w:id="1437361468">
      <w:bodyDiv w:val="1"/>
      <w:marLeft w:val="0"/>
      <w:marRight w:val="0"/>
      <w:marTop w:val="0"/>
      <w:marBottom w:val="0"/>
      <w:divBdr>
        <w:top w:val="none" w:sz="0" w:space="0" w:color="auto"/>
        <w:left w:val="none" w:sz="0" w:space="0" w:color="auto"/>
        <w:bottom w:val="none" w:sz="0" w:space="0" w:color="auto"/>
        <w:right w:val="none" w:sz="0" w:space="0" w:color="auto"/>
      </w:divBdr>
    </w:div>
    <w:div w:id="1443957195">
      <w:bodyDiv w:val="1"/>
      <w:marLeft w:val="0"/>
      <w:marRight w:val="0"/>
      <w:marTop w:val="0"/>
      <w:marBottom w:val="0"/>
      <w:divBdr>
        <w:top w:val="none" w:sz="0" w:space="0" w:color="auto"/>
        <w:left w:val="none" w:sz="0" w:space="0" w:color="auto"/>
        <w:bottom w:val="none" w:sz="0" w:space="0" w:color="auto"/>
        <w:right w:val="none" w:sz="0" w:space="0" w:color="auto"/>
      </w:divBdr>
    </w:div>
    <w:div w:id="1474172175">
      <w:bodyDiv w:val="1"/>
      <w:marLeft w:val="0"/>
      <w:marRight w:val="0"/>
      <w:marTop w:val="0"/>
      <w:marBottom w:val="0"/>
      <w:divBdr>
        <w:top w:val="none" w:sz="0" w:space="0" w:color="auto"/>
        <w:left w:val="none" w:sz="0" w:space="0" w:color="auto"/>
        <w:bottom w:val="none" w:sz="0" w:space="0" w:color="auto"/>
        <w:right w:val="none" w:sz="0" w:space="0" w:color="auto"/>
      </w:divBdr>
    </w:div>
    <w:div w:id="20751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13</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Aprial</dc:creator>
  <cp:keywords/>
  <dc:description/>
  <cp:lastModifiedBy>Lin Aprial</cp:lastModifiedBy>
  <cp:revision>6</cp:revision>
  <dcterms:created xsi:type="dcterms:W3CDTF">2019-12-08T20:47:00Z</dcterms:created>
  <dcterms:modified xsi:type="dcterms:W3CDTF">2019-12-11T04:48:00Z</dcterms:modified>
</cp:coreProperties>
</file>