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2591" w14:textId="77777777" w:rsidR="001514CA" w:rsidRDefault="00000000">
      <w:pPr>
        <w:pStyle w:val="Title"/>
        <w:jc w:val="center"/>
      </w:pPr>
      <w:r>
        <w:t>Part E — Speaker Script (Dot Points)</w:t>
      </w:r>
    </w:p>
    <w:p w14:paraId="2FBE078A" w14:textId="77777777" w:rsidR="001514CA" w:rsidRDefault="00000000">
      <w:pPr>
        <w:pStyle w:val="Heading1"/>
      </w:pPr>
      <w:r>
        <w:t>E(i): Competing Risks</w:t>
      </w:r>
    </w:p>
    <w:p w14:paraId="28340723" w14:textId="77777777" w:rsidR="001514CA" w:rsidRDefault="00000000">
      <w:r>
        <w:rPr>
          <w:b/>
        </w:rPr>
        <w:t>[Title card]</w:t>
      </w:r>
    </w:p>
    <w:p w14:paraId="6F02808F" w14:textId="77777777" w:rsidR="001514CA" w:rsidRDefault="00000000">
      <w:pPr>
        <w:pStyle w:val="ListBullet"/>
      </w:pPr>
      <w:r>
        <w:rPr>
          <w:sz w:val="21"/>
        </w:rPr>
        <w:t>I'll cover Part E.</w:t>
      </w:r>
    </w:p>
    <w:p w14:paraId="4E0AECA7" w14:textId="77777777" w:rsidR="001514CA" w:rsidRDefault="00000000">
      <w:r>
        <w:rPr>
          <w:b/>
        </w:rPr>
        <w:t>[Competing risks]</w:t>
      </w:r>
    </w:p>
    <w:p w14:paraId="1425A281" w14:textId="77777777" w:rsidR="001514CA" w:rsidRDefault="00000000">
      <w:pPr>
        <w:pStyle w:val="ListBullet"/>
      </w:pPr>
      <w:r>
        <w:rPr>
          <w:sz w:val="21"/>
        </w:rPr>
        <w:t>Loans exit three ways: prepayment, default, or full payoff at maturity</w:t>
      </w:r>
    </w:p>
    <w:p w14:paraId="02D7EE8E" w14:textId="77777777" w:rsidR="001514CA" w:rsidRDefault="00000000">
      <w:pPr>
        <w:pStyle w:val="ListBullet"/>
      </w:pPr>
      <w:r>
        <w:rPr>
          <w:sz w:val="21"/>
        </w:rPr>
        <w:t>Prepayment peaks ~month 24 (refinancing); default peaks ~month 60 (financial deterioration)</w:t>
      </w:r>
    </w:p>
    <w:p w14:paraId="3C2DEA5D" w14:textId="77777777" w:rsidR="001514CA" w:rsidRDefault="00000000">
      <w:r>
        <w:rPr>
          <w:b/>
        </w:rPr>
        <w:t>[KM vs AJ]</w:t>
      </w:r>
    </w:p>
    <w:p w14:paraId="4884C75A" w14:textId="77777777" w:rsidR="001514CA" w:rsidRDefault="00000000">
      <w:pPr>
        <w:pStyle w:val="ListBullet"/>
      </w:pPr>
      <w:r>
        <w:rPr>
          <w:sz w:val="21"/>
        </w:rPr>
        <w:t>KM treats competing exits as random censoring → inflates each cause's probability</w:t>
      </w:r>
    </w:p>
    <w:p w14:paraId="28E0B22C" w14:textId="77777777" w:rsidR="001514CA" w:rsidRDefault="00000000">
      <w:pPr>
        <w:pStyle w:val="ListBullet"/>
      </w:pPr>
      <w:r>
        <w:rPr>
          <w:sz w:val="21"/>
        </w:rPr>
        <w:t>Aalen-Johansen keeps all exits in denominator → prepayment + default + active = 100%</w:t>
      </w:r>
    </w:p>
    <w:p w14:paraId="4F1FF9BB" w14:textId="77777777" w:rsidR="001514CA" w:rsidRDefault="00000000">
      <w:r>
        <w:rPr>
          <w:b/>
        </w:rPr>
        <w:t>[AJ CIF partition]</w:t>
      </w:r>
    </w:p>
    <w:p w14:paraId="18BC5A2C" w14:textId="6783A9C1" w:rsidR="001514CA" w:rsidRDefault="005F67D7">
      <w:pPr>
        <w:pStyle w:val="ListBullet"/>
      </w:pPr>
      <w:r>
        <w:rPr>
          <w:sz w:val="21"/>
        </w:rPr>
        <w:t>prepayment + default + active = 100</w:t>
      </w:r>
      <w:r>
        <w:rPr>
          <w:sz w:val="21"/>
        </w:rPr>
        <w:t>%,</w:t>
      </w:r>
      <w:r w:rsidR="00000000">
        <w:rPr>
          <w:sz w:val="21"/>
        </w:rPr>
        <w:t xml:space="preserve"> which KM can't guarantee</w:t>
      </w:r>
    </w:p>
    <w:p w14:paraId="0CDBF84B" w14:textId="77777777" w:rsidR="001514CA" w:rsidRDefault="00000000">
      <w:r>
        <w:rPr>
          <w:b/>
        </w:rPr>
        <w:t>[KM bias]</w:t>
      </w:r>
    </w:p>
    <w:p w14:paraId="6DD11276" w14:textId="77777777" w:rsidR="001514CA" w:rsidRDefault="00000000">
      <w:pPr>
        <w:pStyle w:val="ListBullet"/>
      </w:pPr>
      <w:r>
        <w:rPr>
          <w:sz w:val="21"/>
        </w:rPr>
        <w:t>KM bias grows over time: 0.45pp at 5 years, 1.3pp at 10, 2.2pp at 20</w:t>
      </w:r>
    </w:p>
    <w:p w14:paraId="08BE2212" w14:textId="77777777" w:rsidR="001514CA" w:rsidRDefault="00000000">
      <w:r>
        <w:rPr>
          <w:b/>
        </w:rPr>
        <w:t>[FICO and LTV]</w:t>
      </w:r>
    </w:p>
    <w:p w14:paraId="012DC0EB" w14:textId="3F74E4C1" w:rsidR="001514CA" w:rsidRDefault="00000000">
      <w:pPr>
        <w:pStyle w:val="ListBullet"/>
      </w:pPr>
      <w:r>
        <w:rPr>
          <w:sz w:val="21"/>
        </w:rPr>
        <w:t xml:space="preserve">FICO, LTV, vintage strongly separate default risk </w:t>
      </w:r>
    </w:p>
    <w:p w14:paraId="534EA992" w14:textId="0278A220" w:rsidR="001514CA" w:rsidRDefault="00000000">
      <w:pPr>
        <w:pStyle w:val="ListBullet"/>
      </w:pPr>
      <w:r>
        <w:rPr>
          <w:sz w:val="21"/>
        </w:rPr>
        <w:t xml:space="preserve">Prepayment curves look similar across groups </w:t>
      </w:r>
    </w:p>
    <w:p w14:paraId="0BCC3AB5" w14:textId="77777777" w:rsidR="001514CA" w:rsidRDefault="00000000">
      <w:r>
        <w:rPr>
          <w:b/>
        </w:rPr>
        <w:t>[Cause-specific Cox]</w:t>
      </w:r>
    </w:p>
    <w:p w14:paraId="34F4E994" w14:textId="77777777" w:rsidR="001514CA" w:rsidRDefault="00000000">
      <w:pPr>
        <w:pStyle w:val="ListBullet"/>
      </w:pPr>
      <w:r>
        <w:rPr>
          <w:sz w:val="21"/>
        </w:rPr>
        <w:t>Fit separate Cox models for each cause, adding max delinquency and ever 90+DQ as features</w:t>
      </w:r>
    </w:p>
    <w:p w14:paraId="32B1929B" w14:textId="77777777" w:rsidR="001514CA" w:rsidRDefault="00000000">
      <w:r>
        <w:rPr>
          <w:b/>
        </w:rPr>
        <w:t>[Forest plot]</w:t>
      </w:r>
    </w:p>
    <w:p w14:paraId="615214DB" w14:textId="77777777" w:rsidR="001514CA" w:rsidRDefault="00000000">
      <w:pPr>
        <w:pStyle w:val="ListBullet"/>
      </w:pPr>
      <w:r>
        <w:rPr>
          <w:sz w:val="21"/>
        </w:rPr>
        <w:t>Rate incentive and mortgage rate drive prepayment — refinancing signal</w:t>
      </w:r>
    </w:p>
    <w:p w14:paraId="24F6F984" w14:textId="77777777" w:rsidR="001514CA" w:rsidRDefault="00000000">
      <w:pPr>
        <w:pStyle w:val="ListBullet"/>
      </w:pPr>
      <w:r>
        <w:rPr>
          <w:sz w:val="21"/>
        </w:rPr>
        <w:t>Max delinquency and 90+DQ flag drive default</w:t>
      </w:r>
    </w:p>
    <w:p w14:paraId="31CEFC45" w14:textId="77777777" w:rsidR="001514CA" w:rsidRDefault="00000000">
      <w:r>
        <w:rPr>
          <w:b/>
        </w:rPr>
        <w:t>[Sign flip table]</w:t>
      </w:r>
    </w:p>
    <w:p w14:paraId="18B0E74C" w14:textId="77777777" w:rsidR="00F4130B" w:rsidRDefault="00F4130B">
      <w:pPr>
        <w:pStyle w:val="ListBullet"/>
      </w:pPr>
      <w:r w:rsidRPr="00F4130B">
        <w:t xml:space="preserve">A naive combined model blends prepayment and default into one coefficient, hiding some of opposite effects. </w:t>
      </w:r>
    </w:p>
    <w:p w14:paraId="5D76EE7B" w14:textId="77777777" w:rsidR="00F4130B" w:rsidRDefault="00F4130B">
      <w:pPr>
        <w:pStyle w:val="ListBullet"/>
      </w:pPr>
      <w:r w:rsidRPr="00F4130B">
        <w:t xml:space="preserve">Take max delinquency: the naive model shows delinquency slightly reduces the </w:t>
      </w:r>
      <w:proofErr w:type="gramStart"/>
      <w:r w:rsidRPr="00F4130B">
        <w:t>hazard</w:t>
      </w:r>
      <w:proofErr w:type="gramEnd"/>
      <w:r w:rsidRPr="00F4130B">
        <w:t xml:space="preserve"> but cause-specific models show the opposite. </w:t>
      </w:r>
    </w:p>
    <w:p w14:paraId="39057DE7" w14:textId="2D9DB6A0" w:rsidR="00F4130B" w:rsidRPr="00F4130B" w:rsidRDefault="00F4130B">
      <w:pPr>
        <w:pStyle w:val="ListBullet"/>
      </w:pPr>
      <w:r w:rsidRPr="00F4130B">
        <w:lastRenderedPageBreak/>
        <w:t xml:space="preserve">Using a combined model </w:t>
      </w:r>
      <w:r>
        <w:t xml:space="preserve">can </w:t>
      </w:r>
      <w:r w:rsidRPr="00F4130B">
        <w:t xml:space="preserve">give </w:t>
      </w:r>
      <w:r>
        <w:t>incorrect</w:t>
      </w:r>
      <w:r w:rsidRPr="00F4130B">
        <w:t xml:space="preserve"> </w:t>
      </w:r>
      <w:r>
        <w:t>coefficients</w:t>
      </w:r>
      <w:r w:rsidRPr="00F4130B">
        <w:t xml:space="preserve"> for credit risk variables.</w:t>
      </w:r>
    </w:p>
    <w:p w14:paraId="390AA6AD" w14:textId="77777777" w:rsidR="001514CA" w:rsidRDefault="00000000">
      <w:r>
        <w:rPr>
          <w:b/>
        </w:rPr>
        <w:t>[Key Takeaways E(</w:t>
      </w:r>
      <w:proofErr w:type="spellStart"/>
      <w:r>
        <w:rPr>
          <w:b/>
        </w:rPr>
        <w:t>i</w:t>
      </w:r>
      <w:proofErr w:type="spellEnd"/>
      <w:r>
        <w:rPr>
          <w:b/>
        </w:rPr>
        <w:t>)]</w:t>
      </w:r>
    </w:p>
    <w:p w14:paraId="68A907F2" w14:textId="77777777" w:rsidR="001514CA" w:rsidRDefault="00000000">
      <w:pPr>
        <w:pStyle w:val="ListBullet"/>
      </w:pPr>
      <w:r>
        <w:rPr>
          <w:sz w:val="21"/>
        </w:rPr>
        <w:t>KM overstates prepayment; vintage dominates FICO and LTV; combined Cox gives wrong sign for credit variables</w:t>
      </w:r>
    </w:p>
    <w:p w14:paraId="37A2CB98" w14:textId="77777777" w:rsidR="001514CA" w:rsidRDefault="001514CA"/>
    <w:p w14:paraId="7B6969A5" w14:textId="77777777" w:rsidR="001514CA" w:rsidRDefault="00000000">
      <w:pPr>
        <w:pStyle w:val="Heading1"/>
      </w:pPr>
      <w:r>
        <w:t>E(ii): Time-Varying Covariates</w:t>
      </w:r>
    </w:p>
    <w:p w14:paraId="1606E092" w14:textId="77777777" w:rsidR="001514CA" w:rsidRDefault="00000000">
      <w:r>
        <w:rPr>
          <w:b/>
        </w:rPr>
        <w:t>[Title card]</w:t>
      </w:r>
    </w:p>
    <w:p w14:paraId="18CCEDDA" w14:textId="77777777" w:rsidR="001514CA" w:rsidRDefault="00000000">
      <w:r>
        <w:rPr>
          <w:b/>
        </w:rPr>
        <w:t>[Static vs Andersen-Gill]</w:t>
      </w:r>
    </w:p>
    <w:p w14:paraId="08CD732E" w14:textId="77777777" w:rsidR="001514CA" w:rsidRDefault="00000000">
      <w:pPr>
        <w:pStyle w:val="ListBullet"/>
      </w:pPr>
      <w:r>
        <w:rPr>
          <w:sz w:val="21"/>
        </w:rPr>
        <w:t>Static Cox: one snapshot at origination, never updates</w:t>
      </w:r>
    </w:p>
    <w:p w14:paraId="4CDFB877" w14:textId="77777777" w:rsidR="00A96ABF" w:rsidRPr="00A96ABF" w:rsidRDefault="00000000">
      <w:pPr>
        <w:pStyle w:val="ListBullet"/>
      </w:pPr>
      <w:r>
        <w:rPr>
          <w:sz w:val="21"/>
        </w:rPr>
        <w:t xml:space="preserve">Andersen-Gill: </w:t>
      </w:r>
    </w:p>
    <w:p w14:paraId="3DB48186" w14:textId="77777777" w:rsidR="00A96ABF" w:rsidRDefault="00A96ABF" w:rsidP="00A96ABF">
      <w:pPr>
        <w:pStyle w:val="ListBullet"/>
        <w:tabs>
          <w:tab w:val="clear" w:pos="360"/>
          <w:tab w:val="num" w:pos="720"/>
        </w:tabs>
        <w:ind w:left="720"/>
      </w:pPr>
      <w:r>
        <w:rPr>
          <w:sz w:val="21"/>
        </w:rPr>
        <w:t>Extend Cox to update covariates every month instead of fixing at origination</w:t>
      </w:r>
    </w:p>
    <w:p w14:paraId="4CC85AEA" w14:textId="6F312EDD" w:rsidR="001514CA" w:rsidRDefault="00000000" w:rsidP="00A96ABF">
      <w:pPr>
        <w:pStyle w:val="ListBullet"/>
        <w:tabs>
          <w:tab w:val="clear" w:pos="360"/>
          <w:tab w:val="num" w:pos="720"/>
        </w:tabs>
        <w:ind w:left="720"/>
      </w:pPr>
      <w:r>
        <w:rPr>
          <w:sz w:val="21"/>
        </w:rPr>
        <w:t>one row per loan per month; rate incentive, current LTV, unemployment, HPI all update live</w:t>
      </w:r>
    </w:p>
    <w:p w14:paraId="3D54AD7B" w14:textId="77777777" w:rsidR="001514CA" w:rsidRDefault="00000000" w:rsidP="00A96ABF">
      <w:pPr>
        <w:pStyle w:val="ListBullet"/>
        <w:tabs>
          <w:tab w:val="clear" w:pos="360"/>
          <w:tab w:val="num" w:pos="720"/>
        </w:tabs>
        <w:ind w:left="720"/>
      </w:pPr>
      <w:r>
        <w:rPr>
          <w:sz w:val="21"/>
        </w:rPr>
        <w:t>Same origination features — only difference is frozen vs. tracked</w:t>
      </w:r>
    </w:p>
    <w:p w14:paraId="749025CA" w14:textId="77777777" w:rsidR="001514CA" w:rsidRDefault="00000000">
      <w:r>
        <w:rPr>
          <w:b/>
        </w:rPr>
        <w:t>[AG model]</w:t>
      </w:r>
    </w:p>
    <w:p w14:paraId="5906BBFB" w14:textId="77777777" w:rsidR="001514CA" w:rsidRDefault="00000000">
      <w:pPr>
        <w:pStyle w:val="ListBullet"/>
      </w:pPr>
      <w:r>
        <w:rPr>
          <w:sz w:val="21"/>
        </w:rPr>
        <w:t>Hazard formula identical to Cox — only x(t) updates each month</w:t>
      </w:r>
    </w:p>
    <w:p w14:paraId="726660ED" w14:textId="77777777" w:rsidR="001514CA" w:rsidRDefault="00000000">
      <w:pPr>
        <w:pStyle w:val="ListBullet"/>
      </w:pPr>
      <w:r>
        <w:rPr>
          <w:sz w:val="21"/>
        </w:rPr>
        <w:t>One loan contributes one row per month of its life</w:t>
      </w:r>
    </w:p>
    <w:p w14:paraId="5CA14EA5" w14:textId="77777777" w:rsidR="001514CA" w:rsidRDefault="00000000">
      <w:r>
        <w:rPr>
          <w:b/>
        </w:rPr>
        <w:t>[Feature trajectories]</w:t>
      </w:r>
    </w:p>
    <w:p w14:paraId="3352F505" w14:textId="77777777" w:rsidR="001514CA" w:rsidRDefault="00000000">
      <w:pPr>
        <w:pStyle w:val="ListBullet"/>
      </w:pPr>
      <w:r>
        <w:rPr>
          <w:sz w:val="21"/>
        </w:rPr>
        <w:t>2020 vintage started in-the-money, turned deeply negative after 2022 — rate lock-in</w:t>
      </w:r>
    </w:p>
    <w:p w14:paraId="108E9BEF" w14:textId="77777777" w:rsidR="001514CA" w:rsidRDefault="00000000">
      <w:pPr>
        <w:pStyle w:val="ListBullet"/>
      </w:pPr>
      <w:r>
        <w:rPr>
          <w:sz w:val="21"/>
        </w:rPr>
        <w:t>2007 vintage shows the opposite path</w:t>
      </w:r>
    </w:p>
    <w:p w14:paraId="4A00CE81" w14:textId="77777777" w:rsidR="001514CA" w:rsidRDefault="00000000">
      <w:pPr>
        <w:pStyle w:val="ListBullet"/>
      </w:pPr>
      <w:r>
        <w:rPr>
          <w:sz w:val="21"/>
        </w:rPr>
        <w:t>These dynamics are invisible at origination</w:t>
      </w:r>
    </w:p>
    <w:p w14:paraId="1BFF0AED" w14:textId="77777777" w:rsidR="001514CA" w:rsidRDefault="00000000">
      <w:r>
        <w:rPr>
          <w:b/>
        </w:rPr>
        <w:t>[Coefficient comparison]</w:t>
      </w:r>
    </w:p>
    <w:p w14:paraId="2252D455" w14:textId="77777777" w:rsidR="001514CA" w:rsidRDefault="00000000">
      <w:pPr>
        <w:pStyle w:val="ListBullet"/>
      </w:pPr>
      <w:r>
        <w:rPr>
          <w:sz w:val="21"/>
        </w:rPr>
        <w:t>Rate: static uses origination rate (era signal); TV Cox uses rate incentive (live refinancing signal) → dominant predictor</w:t>
      </w:r>
    </w:p>
    <w:p w14:paraId="5EA87720" w14:textId="77777777" w:rsidR="001514CA" w:rsidRDefault="00000000">
      <w:pPr>
        <w:pStyle w:val="ListBullet"/>
      </w:pPr>
      <w:r>
        <w:rPr>
          <w:sz w:val="21"/>
        </w:rPr>
        <w:t>Unemployment: sign flips — high current unemployment coincided with Fed rate cuts, so it proxies for low rates, not distress</w:t>
      </w:r>
    </w:p>
    <w:p w14:paraId="7FEEF3F1" w14:textId="77777777" w:rsidR="001514CA" w:rsidRDefault="00000000">
      <w:pPr>
        <w:pStyle w:val="ListBullet"/>
      </w:pPr>
      <w:r>
        <w:rPr>
          <w:sz w:val="21"/>
        </w:rPr>
        <w:t>HPI: static captures origination price; TV Cox tracks current growth → rising prices build equity faster, enabling cash-out refi</w:t>
      </w:r>
    </w:p>
    <w:p w14:paraId="0D116548" w14:textId="77777777" w:rsidR="001514CA" w:rsidRDefault="00000000">
      <w:r>
        <w:rPr>
          <w:b/>
        </w:rPr>
        <w:t>[C-index]</w:t>
      </w:r>
    </w:p>
    <w:p w14:paraId="6F6730E1" w14:textId="77777777" w:rsidR="001514CA" w:rsidRDefault="00000000">
      <w:pPr>
        <w:pStyle w:val="ListBullet"/>
      </w:pPr>
      <w:r>
        <w:rPr>
          <w:sz w:val="21"/>
        </w:rPr>
        <w:t>TV Cox beats static up to 60 months</w:t>
      </w:r>
    </w:p>
    <w:p w14:paraId="64CB0AA4" w14:textId="77777777" w:rsidR="001514CA" w:rsidRDefault="00000000">
      <w:pPr>
        <w:pStyle w:val="ListBullet"/>
      </w:pPr>
      <w:r>
        <w:rPr>
          <w:sz w:val="21"/>
        </w:rPr>
        <w:t>Beyond 70 months, static overtakes — surviving loans are rate-locked; their current covariates reflect why they haven't prepaid, not future risk</w:t>
      </w:r>
    </w:p>
    <w:p w14:paraId="5C642CCA" w14:textId="77777777" w:rsidR="001514CA" w:rsidRDefault="00000000">
      <w:r>
        <w:rPr>
          <w:b/>
        </w:rPr>
        <w:lastRenderedPageBreak/>
        <w:t>[Key Takeaways E(ii)]</w:t>
      </w:r>
    </w:p>
    <w:p w14:paraId="0A171ADA" w14:textId="77777777" w:rsidR="001514CA" w:rsidRDefault="00000000">
      <w:pPr>
        <w:pStyle w:val="ListBullet"/>
      </w:pPr>
      <w:r>
        <w:rPr>
          <w:sz w:val="21"/>
        </w:rPr>
        <w:t>Monthly updates help at short horizons; rate incentive is the key driver; TV Cox degrades beyond 70 months</w:t>
      </w:r>
    </w:p>
    <w:p w14:paraId="336DCC07" w14:textId="77777777" w:rsidR="001514CA" w:rsidRDefault="001514CA"/>
    <w:p w14:paraId="1638F02D" w14:textId="77777777" w:rsidR="001514CA" w:rsidRDefault="00000000">
      <w:pPr>
        <w:pStyle w:val="Heading1"/>
      </w:pPr>
      <w:r>
        <w:t>E(iii): Neural Survival Models</w:t>
      </w:r>
    </w:p>
    <w:p w14:paraId="2162BAB4" w14:textId="77777777" w:rsidR="001514CA" w:rsidRDefault="00000000">
      <w:r>
        <w:rPr>
          <w:b/>
        </w:rPr>
        <w:t>[Title card]</w:t>
      </w:r>
    </w:p>
    <w:p w14:paraId="63A14263" w14:textId="77777777" w:rsidR="001514CA" w:rsidRDefault="00000000">
      <w:pPr>
        <w:pStyle w:val="ListBullet"/>
      </w:pPr>
      <w:r>
        <w:rPr>
          <w:sz w:val="21"/>
        </w:rPr>
        <w:t>Go beyond Cox with a Transformer reading the full monthly history of each loan</w:t>
      </w:r>
    </w:p>
    <w:p w14:paraId="3C7CB63E" w14:textId="77777777" w:rsidR="001514CA" w:rsidRDefault="00000000">
      <w:r>
        <w:rPr>
          <w:b/>
        </w:rPr>
        <w:t>[Why beyond Cox]</w:t>
      </w:r>
    </w:p>
    <w:p w14:paraId="1768400B" w14:textId="77777777" w:rsidR="001514CA" w:rsidRDefault="00000000">
      <w:pPr>
        <w:pStyle w:val="ListBullet"/>
      </w:pPr>
      <w:r>
        <w:rPr>
          <w:sz w:val="21"/>
        </w:rPr>
        <w:t>Cox assumes covariate effects are constant over time</w:t>
      </w:r>
    </w:p>
    <w:p w14:paraId="156D9F78" w14:textId="77777777" w:rsidR="001514CA" w:rsidRDefault="00000000">
      <w:pPr>
        <w:pStyle w:val="ListBullet"/>
      </w:pPr>
      <w:r>
        <w:rPr>
          <w:sz w:val="21"/>
        </w:rPr>
        <w:t>Two loans with the same origination snapshot but opposite histories — only a sequence model can distinguish them</w:t>
      </w:r>
    </w:p>
    <w:p w14:paraId="298B7E49" w14:textId="77777777" w:rsidR="001514CA" w:rsidRDefault="00000000">
      <w:r>
        <w:rPr>
          <w:b/>
        </w:rPr>
        <w:t>[Architecture rationale]</w:t>
      </w:r>
    </w:p>
    <w:p w14:paraId="67787921" w14:textId="77777777" w:rsidR="001514CA" w:rsidRDefault="00000000">
      <w:pPr>
        <w:pStyle w:val="ListBullet"/>
      </w:pPr>
      <w:r>
        <w:rPr>
          <w:sz w:val="21"/>
        </w:rPr>
        <w:t>Transformer can attend to any point in a 120-month sequence — a rate shock at month 6 shaping behavior at month 60 is easy to represent</w:t>
      </w:r>
    </w:p>
    <w:p w14:paraId="13CBD330" w14:textId="77777777" w:rsidR="001514CA" w:rsidRDefault="00000000">
      <w:r>
        <w:rPr>
          <w:b/>
        </w:rPr>
        <w:t>[Architecture]</w:t>
      </w:r>
    </w:p>
    <w:p w14:paraId="0D719702" w14:textId="77777777" w:rsidR="001514CA" w:rsidRDefault="00000000">
      <w:pPr>
        <w:pStyle w:val="ListBullet"/>
      </w:pPr>
      <w:r>
        <w:rPr>
          <w:sz w:val="21"/>
        </w:rPr>
        <w:t>120 monthly vectors × 13 features → projected to 64 dimensions</w:t>
      </w:r>
    </w:p>
    <w:p w14:paraId="59BACE8A" w14:textId="77777777" w:rsidR="001514CA" w:rsidRDefault="00000000">
      <w:pPr>
        <w:pStyle w:val="ListBullet"/>
      </w:pPr>
      <w:r>
        <w:rPr>
          <w:sz w:val="21"/>
        </w:rPr>
        <w:t>Two Transformer encoder layers with causal masking</w:t>
      </w:r>
    </w:p>
    <w:p w14:paraId="6E92616B" w14:textId="77777777" w:rsidR="001514CA" w:rsidRDefault="00000000">
      <w:pPr>
        <w:pStyle w:val="ListBullet"/>
      </w:pPr>
      <w:r>
        <w:rPr>
          <w:sz w:val="21"/>
        </w:rPr>
        <w:t>Two output heads (prepayment, default); competing-risk chain product guarantees CIF1 + CIF2 + survival = 1</w:t>
      </w:r>
    </w:p>
    <w:p w14:paraId="00B0252F" w14:textId="77777777" w:rsidR="001514CA" w:rsidRDefault="00000000">
      <w:r>
        <w:rPr>
          <w:b/>
        </w:rPr>
        <w:t>[Training dynamics]</w:t>
      </w:r>
    </w:p>
    <w:p w14:paraId="008F315A" w14:textId="77777777" w:rsidR="001514CA" w:rsidRDefault="00000000">
      <w:pPr>
        <w:pStyle w:val="ListBullet"/>
      </w:pPr>
      <w:r>
        <w:rPr>
          <w:sz w:val="21"/>
        </w:rPr>
        <w:t>NLL collapse: 98.4% of loan-months have no event → near-zero hazard already minimizes loss; event gradients too weak</w:t>
      </w:r>
    </w:p>
    <w:p w14:paraId="106502CC" w14:textId="77777777" w:rsidR="001514CA" w:rsidRDefault="00000000">
      <w:pPr>
        <w:pStyle w:val="ListBullet"/>
      </w:pPr>
      <w:r>
        <w:rPr>
          <w:sz w:val="21"/>
        </w:rPr>
        <w:t>Cox immune: partial likelihood only ranks loans at event times, never predicts absolute hazard — no trivial solution</w:t>
      </w:r>
    </w:p>
    <w:p w14:paraId="0E28F476" w14:textId="77777777" w:rsidR="001514CA" w:rsidRDefault="00000000">
      <w:pPr>
        <w:pStyle w:val="ListBullet"/>
      </w:pPr>
      <w:r>
        <w:rPr>
          <w:sz w:val="21"/>
        </w:rPr>
        <w:t>AUC holds at ~0.6: ranking loss preserves relative ordering; discrimination preserved, calibration not</w:t>
      </w:r>
    </w:p>
    <w:p w14:paraId="5436FB5D" w14:textId="77777777" w:rsidR="001514CA" w:rsidRDefault="00000000">
      <w:r>
        <w:rPr>
          <w:b/>
        </w:rPr>
        <w:t>[Gradient sensitivity]</w:t>
      </w:r>
    </w:p>
    <w:p w14:paraId="5C561296" w14:textId="77777777" w:rsidR="001514CA" w:rsidRDefault="00000000">
      <w:pPr>
        <w:pStyle w:val="ListBullet"/>
      </w:pPr>
      <w:r>
        <w:rPr>
          <w:sz w:val="21"/>
        </w:rPr>
        <w:t>Rate incentive and current LTV drive prepayment; FICO and unemployment drive default — matches E(i) without being imposed</w:t>
      </w:r>
    </w:p>
    <w:p w14:paraId="6D13E705" w14:textId="77777777" w:rsidR="001514CA" w:rsidRDefault="00000000">
      <w:r>
        <w:rPr>
          <w:b/>
        </w:rPr>
        <w:t>[Feature importance over lifecycle]</w:t>
      </w:r>
    </w:p>
    <w:p w14:paraId="2F92A58D" w14:textId="77777777" w:rsidR="001514CA" w:rsidRDefault="00000000">
      <w:pPr>
        <w:pStyle w:val="ListBullet"/>
      </w:pPr>
      <w:r>
        <w:rPr>
          <w:sz w:val="21"/>
        </w:rPr>
        <w:t>Rate incentive dominates early; current LTV rises later as equity gates refinancing</w:t>
      </w:r>
    </w:p>
    <w:p w14:paraId="27E5D9EE" w14:textId="77777777" w:rsidR="001514CA" w:rsidRDefault="00000000">
      <w:pPr>
        <w:pStyle w:val="ListBullet"/>
      </w:pPr>
      <w:r>
        <w:rPr>
          <w:sz w:val="21"/>
        </w:rPr>
        <w:lastRenderedPageBreak/>
        <w:t>Time-resolved view impossible in Cox</w:t>
      </w:r>
    </w:p>
    <w:p w14:paraId="37E652C8" w14:textId="77777777" w:rsidR="001514CA" w:rsidRDefault="00000000">
      <w:r>
        <w:rPr>
          <w:b/>
        </w:rPr>
        <w:t>[Model performance]</w:t>
      </w:r>
    </w:p>
    <w:p w14:paraId="1A029BE6" w14:textId="77777777" w:rsidR="001514CA" w:rsidRDefault="00000000">
      <w:pPr>
        <w:pStyle w:val="ListBullet"/>
      </w:pPr>
      <w:r>
        <w:rPr>
          <w:sz w:val="21"/>
        </w:rPr>
        <w:t>Default AUC matches DeepCox at every horizon with 6x fewer training loans</w:t>
      </w:r>
    </w:p>
    <w:p w14:paraId="712386D7" w14:textId="77777777" w:rsidR="001514CA" w:rsidRDefault="00000000">
      <w:pPr>
        <w:pStyle w:val="ListBullet"/>
      </w:pPr>
      <w:r>
        <w:rPr>
          <w:sz w:val="21"/>
        </w:rPr>
        <w:t>Prepayment lags due to NLL collapse</w:t>
      </w:r>
    </w:p>
    <w:p w14:paraId="7AF8E076" w14:textId="77777777" w:rsidR="001514CA" w:rsidRDefault="00000000">
      <w:r>
        <w:rPr>
          <w:b/>
        </w:rPr>
        <w:t>[Key Takeaways E(iii)]</w:t>
      </w:r>
    </w:p>
    <w:p w14:paraId="38C80089" w14:textId="77777777" w:rsidR="001514CA" w:rsidRDefault="00000000">
      <w:pPr>
        <w:pStyle w:val="ListBullet"/>
      </w:pPr>
      <w:r>
        <w:rPr>
          <w:sz w:val="21"/>
        </w:rPr>
        <w:t>Transformer exploits sequence structure; default AUC matches benchmark; known limitation is calibration — fix via focal-loss upweighting</w:t>
      </w:r>
    </w:p>
    <w:p w14:paraId="6BC9505F" w14:textId="77777777" w:rsidR="001514CA" w:rsidRDefault="001514CA"/>
    <w:p w14:paraId="251D4D17" w14:textId="77777777" w:rsidR="001514CA" w:rsidRDefault="00000000">
      <w:pPr>
        <w:pStyle w:val="Heading1"/>
      </w:pPr>
      <w:r>
        <w:t>E(iv): Scenario Analysis</w:t>
      </w:r>
    </w:p>
    <w:p w14:paraId="70233981" w14:textId="77777777" w:rsidR="001514CA" w:rsidRDefault="00000000">
      <w:r>
        <w:rPr>
          <w:b/>
        </w:rPr>
        <w:t>[Title card]</w:t>
      </w:r>
    </w:p>
    <w:p w14:paraId="1261F504" w14:textId="77777777" w:rsidR="001514CA" w:rsidRDefault="00000000">
      <w:pPr>
        <w:pStyle w:val="ListBullet"/>
      </w:pPr>
      <w:r>
        <w:rPr>
          <w:sz w:val="21"/>
        </w:rPr>
        <w:t>Stress-test prepayment under rate shocks and translate into MBS cash flows</w:t>
      </w:r>
    </w:p>
    <w:p w14:paraId="53014430" w14:textId="77777777" w:rsidR="001514CA" w:rsidRDefault="00000000">
      <w:r>
        <w:rPr>
          <w:b/>
        </w:rPr>
        <w:t>[TV Cox rate channel]</w:t>
      </w:r>
    </w:p>
    <w:p w14:paraId="72A1C5F1" w14:textId="77777777" w:rsidR="001514CA" w:rsidRDefault="00000000">
      <w:pPr>
        <w:pStyle w:val="ListBullet"/>
      </w:pPr>
      <w:r>
        <w:rPr>
          <w:sz w:val="21"/>
        </w:rPr>
        <w:t>Rate incentive is a live covariate → any rate shock feeds into hazard via one coefficient</w:t>
      </w:r>
    </w:p>
    <w:p w14:paraId="4333ACF4" w14:textId="77777777" w:rsidR="001514CA" w:rsidRDefault="00000000">
      <w:pPr>
        <w:pStyle w:val="ListBullet"/>
      </w:pPr>
      <w:r>
        <w:rPr>
          <w:sz w:val="21"/>
        </w:rPr>
        <w:t>300bp cut raises log-hazard by 0.123 — one number, fully auditable</w:t>
      </w:r>
    </w:p>
    <w:p w14:paraId="307EF6F7" w14:textId="77777777" w:rsidR="001514CA" w:rsidRDefault="00000000">
      <w:pPr>
        <w:pStyle w:val="ListBullet"/>
      </w:pPr>
      <w:r>
        <w:rPr>
          <w:sz w:val="21"/>
        </w:rPr>
        <w:t>Static models fix rate at origination → no path for shocks, or wrong direction</w:t>
      </w:r>
    </w:p>
    <w:p w14:paraId="11D531E8" w14:textId="77777777" w:rsidR="001514CA" w:rsidRDefault="00000000">
      <w:r>
        <w:rPr>
          <w:b/>
        </w:rPr>
        <w:t>[Shock sensitivity]</w:t>
      </w:r>
    </w:p>
    <w:p w14:paraId="3AE85265" w14:textId="77777777" w:rsidR="001514CA" w:rsidRDefault="00000000">
      <w:pPr>
        <w:pStyle w:val="ListBullet"/>
      </w:pPr>
      <w:r>
        <w:rPr>
          <w:sz w:val="21"/>
        </w:rPr>
        <w:t>Every 100bp rate cut raises prepayment hazard by 4.2%</w:t>
      </w:r>
    </w:p>
    <w:p w14:paraId="7DADC09C" w14:textId="77777777" w:rsidR="001514CA" w:rsidRDefault="00000000">
      <w:pPr>
        <w:pStyle w:val="ListBullet"/>
      </w:pPr>
      <w:r>
        <w:rPr>
          <w:sz w:val="21"/>
        </w:rPr>
        <w:t>Linear channel — equal rate steps produce equal hazard steps</w:t>
      </w:r>
    </w:p>
    <w:p w14:paraId="0DC30B4C" w14:textId="77777777" w:rsidR="001514CA" w:rsidRDefault="00000000">
      <w:r>
        <w:rPr>
          <w:b/>
        </w:rPr>
        <w:t>[Survival curves]</w:t>
      </w:r>
    </w:p>
    <w:p w14:paraId="0E95285F" w14:textId="77777777" w:rsidR="001514CA" w:rsidRDefault="00000000">
      <w:pPr>
        <w:pStyle w:val="ListBullet"/>
      </w:pPr>
      <w:r>
        <w:rPr>
          <w:sz w:val="21"/>
        </w:rPr>
        <w:t>±300bp shifts 10-year survival by 6.6pp and median prepayment month by 10 months, monotonically ordered</w:t>
      </w:r>
    </w:p>
    <w:p w14:paraId="0B3A7C1D" w14:textId="77777777" w:rsidR="001514CA" w:rsidRDefault="00000000">
      <w:r>
        <w:rPr>
          <w:b/>
        </w:rPr>
        <w:t>[MBS cash flows]</w:t>
      </w:r>
    </w:p>
    <w:p w14:paraId="5DB80F78" w14:textId="77777777" w:rsidR="001514CA" w:rsidRDefault="00000000">
      <w:pPr>
        <w:pStyle w:val="ListBullet"/>
      </w:pPr>
      <w:r>
        <w:rPr>
          <w:sz w:val="21"/>
        </w:rPr>
        <w:t>WAL range: 0.58 years; price range: $18.55 across ±300bp</w:t>
      </w:r>
    </w:p>
    <w:p w14:paraId="79364B80" w14:textId="77777777" w:rsidR="001514CA" w:rsidRDefault="00000000">
      <w:pPr>
        <w:pStyle w:val="ListBullet"/>
      </w:pPr>
      <w:r>
        <w:rPr>
          <w:sz w:val="21"/>
        </w:rPr>
        <w:t>Negative convexity: rates fall → borrowers prepay at par, capping upside — $9.25 gain &lt; $9.30 loss</w:t>
      </w:r>
    </w:p>
    <w:p w14:paraId="32FB76B2" w14:textId="77777777" w:rsidR="001514CA" w:rsidRDefault="00000000">
      <w:r>
        <w:rPr>
          <w:b/>
        </w:rPr>
        <w:t>[Key Takeaways E(iv)]</w:t>
      </w:r>
    </w:p>
    <w:p w14:paraId="7405549E" w14:textId="77777777" w:rsidR="001514CA" w:rsidRDefault="00000000">
      <w:pPr>
        <w:pStyle w:val="ListBullet"/>
      </w:pPr>
      <w:r>
        <w:rPr>
          <w:sz w:val="21"/>
        </w:rPr>
        <w:t>Linear rate channel makes stress results predictable; negative convexity correctly captured</w:t>
      </w:r>
    </w:p>
    <w:p w14:paraId="0B8C15F5" w14:textId="77777777" w:rsidR="001514CA" w:rsidRDefault="001514CA"/>
    <w:sectPr w:rsidR="001514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34717">
    <w:abstractNumId w:val="8"/>
  </w:num>
  <w:num w:numId="2" w16cid:durableId="1493374540">
    <w:abstractNumId w:val="6"/>
  </w:num>
  <w:num w:numId="3" w16cid:durableId="609167691">
    <w:abstractNumId w:val="5"/>
  </w:num>
  <w:num w:numId="4" w16cid:durableId="1512526664">
    <w:abstractNumId w:val="4"/>
  </w:num>
  <w:num w:numId="5" w16cid:durableId="302270294">
    <w:abstractNumId w:val="7"/>
  </w:num>
  <w:num w:numId="6" w16cid:durableId="1721125858">
    <w:abstractNumId w:val="3"/>
  </w:num>
  <w:num w:numId="7" w16cid:durableId="1435320539">
    <w:abstractNumId w:val="2"/>
  </w:num>
  <w:num w:numId="8" w16cid:durableId="1666056933">
    <w:abstractNumId w:val="1"/>
  </w:num>
  <w:num w:numId="9" w16cid:durableId="343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CA"/>
    <w:rsid w:val="0029639D"/>
    <w:rsid w:val="00326F90"/>
    <w:rsid w:val="005F67D7"/>
    <w:rsid w:val="00A96ABF"/>
    <w:rsid w:val="00AA1D8D"/>
    <w:rsid w:val="00B41190"/>
    <w:rsid w:val="00B47730"/>
    <w:rsid w:val="00CB0664"/>
    <w:rsid w:val="00CB72E5"/>
    <w:rsid w:val="00EE0E88"/>
    <w:rsid w:val="00F41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75457"/>
  <w14:defaultImageDpi w14:val="300"/>
  <w15:docId w15:val="{966674C9-CF7F-044E-9B2D-1EAA25DE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Yueqi Lin</cp:lastModifiedBy>
  <cp:revision>6</cp:revision>
  <dcterms:created xsi:type="dcterms:W3CDTF">2013-12-23T23:15:00Z</dcterms:created>
  <dcterms:modified xsi:type="dcterms:W3CDTF">2026-05-13T05:50:00Z</dcterms:modified>
  <cp:category/>
</cp:coreProperties>
</file>