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27A34F">
      <w:pPr>
        <w:jc w:val="center"/>
      </w:pPr>
      <w:r>
        <w:rPr>
          <w:rFonts w:ascii="微软雅黑" w:hAnsi="微软雅黑" w:eastAsia="微软雅黑"/>
          <w:b/>
          <w:sz w:val="36"/>
        </w:rPr>
        <w:t>AntennaPatternAnalyzer 小工具运行报告</w:t>
      </w:r>
    </w:p>
    <w:p w14:paraId="719D02F2"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新增功能汇报版</w:t>
      </w:r>
    </w:p>
    <w:p w14:paraId="59EF5875">
      <w:pPr>
        <w:jc w:val="center"/>
      </w:pPr>
      <w:r>
        <w:rPr>
          <w:rFonts w:ascii="宋体" w:hAnsi="宋体" w:eastAsia="宋体"/>
          <w:b w:val="0"/>
          <w:sz w:val="21"/>
        </w:rPr>
        <w:t>分析对象：314B_Air_RealizedGainPlot.csv（弹载天线方向图）</w:t>
      </w:r>
    </w:p>
    <w:p w14:paraId="447A70A3">
      <w:pPr>
        <w:pStyle w:val="3"/>
      </w:pPr>
      <w:r>
        <w:rPr>
          <w:rFonts w:ascii="微软雅黑" w:hAnsi="微软雅黑" w:eastAsia="微软雅黑"/>
        </w:rPr>
        <w:t>一、重点</w:t>
      </w:r>
    </w:p>
    <w:p w14:paraId="24F71070">
      <w:pPr>
        <w:pStyle w:val="16"/>
      </w:pPr>
      <w:r>
        <w:rPr>
          <w:rFonts w:ascii="宋体" w:hAnsi="宋体" w:eastAsia="宋体"/>
          <w:sz w:val="20"/>
        </w:rPr>
        <w:t>原有功能：读取方向图 CSV，并绘制 Phi / Theta / Gain 二维等高线图。</w:t>
      </w:r>
    </w:p>
    <w:p w14:paraId="4FC8026C">
      <w:pPr>
        <w:pStyle w:val="16"/>
      </w:pPr>
      <w:r>
        <w:rPr>
          <w:rFonts w:ascii="宋体" w:hAnsi="宋体" w:eastAsia="宋体"/>
          <w:sz w:val="20"/>
        </w:rPr>
        <w:t>本次新增：输入/输出目录管理、一维切面图、区域统计、关键方向增益表、滑块与手动输入查询、PNG/CSV/TXT 结果保存。</w:t>
      </w:r>
    </w:p>
    <w:p w14:paraId="3F9F7B93">
      <w:pPr>
        <w:pStyle w:val="16"/>
      </w:pPr>
      <w:r>
        <w:rPr>
          <w:rFonts w:ascii="宋体" w:hAnsi="宋体" w:eastAsia="宋体"/>
          <w:sz w:val="20"/>
        </w:rPr>
        <w:t>本次弹尾 ±15</w:t>
      </w:r>
      <w:bookmarkStart w:id="0" w:name="_GoBack"/>
      <w:bookmarkEnd w:id="0"/>
      <w:r>
        <w:rPr>
          <w:rFonts w:ascii="宋体" w:hAnsi="宋体" w:eastAsia="宋体"/>
          <w:sz w:val="20"/>
        </w:rPr>
        <w:t>° 区域统计结果：Gain &gt; -5 dBi 的比例为 100.00%，区域判定通过。</w:t>
      </w:r>
    </w:p>
    <w:p w14:paraId="2812F437">
      <w:pPr>
        <w:pStyle w:val="3"/>
      </w:pPr>
      <w:r>
        <w:rPr>
          <w:rFonts w:ascii="微软雅黑" w:hAnsi="微软雅黑" w:eastAsia="微软雅黑"/>
        </w:rPr>
        <w:t>二、原有功能与新增功能对比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8"/>
        <w:gridCol w:w="1860"/>
        <w:gridCol w:w="6576"/>
      </w:tblGrid>
      <w:tr w14:paraId="24AE4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160" w:type="dxa"/>
            <w:shd w:val="clear" w:color="auto" w:fill="1F4E79"/>
            <w:vAlign w:val="center"/>
          </w:tcPr>
          <w:p w14:paraId="3652AD1B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功能项</w:t>
            </w:r>
          </w:p>
        </w:tc>
        <w:tc>
          <w:tcPr>
            <w:tcW w:w="1872" w:type="dxa"/>
            <w:shd w:val="clear" w:color="auto" w:fill="1F4E79"/>
            <w:vAlign w:val="center"/>
          </w:tcPr>
          <w:p w14:paraId="7E5238D6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原来</w:t>
            </w:r>
          </w:p>
        </w:tc>
        <w:tc>
          <w:tcPr>
            <w:tcW w:w="6624" w:type="dxa"/>
            <w:shd w:val="clear" w:color="auto" w:fill="1F4E79"/>
            <w:vAlign w:val="center"/>
          </w:tcPr>
          <w:p w14:paraId="7837CC63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现在新增/完善</w:t>
            </w:r>
          </w:p>
        </w:tc>
      </w:tr>
      <w:tr w14:paraId="08316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33640AE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二维等高线图</w:t>
            </w:r>
          </w:p>
        </w:tc>
        <w:tc>
          <w:tcPr>
            <w:tcW w:w="1872" w:type="dxa"/>
            <w:vAlign w:val="center"/>
          </w:tcPr>
          <w:p w14:paraId="4C3F203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已有</w:t>
            </w:r>
          </w:p>
        </w:tc>
        <w:tc>
          <w:tcPr>
            <w:tcW w:w="6624" w:type="dxa"/>
            <w:vAlign w:val="center"/>
          </w:tcPr>
          <w:p w14:paraId="6CF5AAF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保留并规范输出到 output 目录</w:t>
            </w:r>
          </w:p>
        </w:tc>
      </w:tr>
      <w:tr w14:paraId="1F275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53B5A2F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输入/输出目录结构</w:t>
            </w:r>
          </w:p>
        </w:tc>
        <w:tc>
          <w:tcPr>
            <w:tcW w:w="1872" w:type="dxa"/>
            <w:vAlign w:val="center"/>
          </w:tcPr>
          <w:p w14:paraId="37E9FEF8"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有</w:t>
            </w:r>
          </w:p>
        </w:tc>
        <w:tc>
          <w:tcPr>
            <w:tcW w:w="6624" w:type="dxa"/>
            <w:vAlign w:val="center"/>
          </w:tcPr>
          <w:p w14:paraId="41D133C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input / output 文件夹，输入方向图和输出结果分开管理</w:t>
            </w:r>
          </w:p>
        </w:tc>
      </w:tr>
      <w:tr w14:paraId="31DB85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2286E4C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固定 Theta 扫描 Phi</w:t>
            </w:r>
          </w:p>
        </w:tc>
        <w:tc>
          <w:tcPr>
            <w:tcW w:w="1872" w:type="dxa"/>
            <w:vAlign w:val="center"/>
          </w:tcPr>
          <w:p w14:paraId="563EF77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无</w:t>
            </w:r>
          </w:p>
        </w:tc>
        <w:tc>
          <w:tcPr>
            <w:tcW w:w="6624" w:type="dxa"/>
            <w:vAlign w:val="center"/>
          </w:tcPr>
          <w:p w14:paraId="488E8FC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新增，可输入多个 Theta 值并画到同一张图</w:t>
            </w:r>
          </w:p>
        </w:tc>
      </w:tr>
      <w:tr w14:paraId="5A117E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0BC6592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固定 Phi 扫描 Theta</w:t>
            </w:r>
          </w:p>
        </w:tc>
        <w:tc>
          <w:tcPr>
            <w:tcW w:w="1872" w:type="dxa"/>
            <w:vAlign w:val="center"/>
          </w:tcPr>
          <w:p w14:paraId="0F6E7F8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无</w:t>
            </w:r>
          </w:p>
        </w:tc>
        <w:tc>
          <w:tcPr>
            <w:tcW w:w="6624" w:type="dxa"/>
            <w:vAlign w:val="center"/>
          </w:tcPr>
          <w:p w14:paraId="4AF6D8F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新增，可输入多个 Phi 值并画到同一张图</w:t>
            </w:r>
          </w:p>
        </w:tc>
      </w:tr>
      <w:tr w14:paraId="0540F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1280C75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指定区域统计</w:t>
            </w:r>
          </w:p>
        </w:tc>
        <w:tc>
          <w:tcPr>
            <w:tcW w:w="1872" w:type="dxa"/>
            <w:vAlign w:val="center"/>
          </w:tcPr>
          <w:p w14:paraId="7DCEBD3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无</w:t>
            </w:r>
          </w:p>
        </w:tc>
        <w:tc>
          <w:tcPr>
            <w:tcW w:w="6624" w:type="dxa"/>
            <w:vAlign w:val="center"/>
          </w:tcPr>
          <w:p w14:paraId="061AFF2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新增 min / mean / max / median / std 和 Gain 大于阈值比例</w:t>
            </w:r>
          </w:p>
        </w:tc>
      </w:tr>
      <w:tr w14:paraId="05984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2EA9442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关键方向增益表</w:t>
            </w:r>
          </w:p>
        </w:tc>
        <w:tc>
          <w:tcPr>
            <w:tcW w:w="1872" w:type="dxa"/>
            <w:vAlign w:val="center"/>
          </w:tcPr>
          <w:p w14:paraId="08C63E9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无</w:t>
            </w:r>
          </w:p>
        </w:tc>
        <w:tc>
          <w:tcPr>
            <w:tcW w:w="6624" w:type="dxa"/>
            <w:vAlign w:val="center"/>
          </w:tcPr>
          <w:p w14:paraId="70DC86C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新增弹头、弹尾、侧面、Z 轴/主辐射方向 Gain 表</w:t>
            </w:r>
          </w:p>
        </w:tc>
      </w:tr>
      <w:tr w14:paraId="64DA49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766C562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交互查询</w:t>
            </w:r>
          </w:p>
        </w:tc>
        <w:tc>
          <w:tcPr>
            <w:tcW w:w="1872" w:type="dxa"/>
            <w:vAlign w:val="center"/>
          </w:tcPr>
          <w:p w14:paraId="00C23AB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无</w:t>
            </w:r>
          </w:p>
        </w:tc>
        <w:tc>
          <w:tcPr>
            <w:tcW w:w="6624" w:type="dxa"/>
            <w:vAlign w:val="center"/>
          </w:tcPr>
          <w:p w14:paraId="6A47583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新增 Phi / Theta 滑块，并支持手动输入角度查询 Gain</w:t>
            </w:r>
          </w:p>
        </w:tc>
      </w:tr>
      <w:tr w14:paraId="3BCD8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5D0EED8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结果保存</w:t>
            </w:r>
          </w:p>
        </w:tc>
        <w:tc>
          <w:tcPr>
            <w:tcW w:w="1872" w:type="dxa"/>
            <w:vAlign w:val="center"/>
          </w:tcPr>
          <w:p w14:paraId="3662D04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少</w:t>
            </w:r>
          </w:p>
        </w:tc>
        <w:tc>
          <w:tcPr>
            <w:tcW w:w="6624" w:type="dxa"/>
            <w:vAlign w:val="center"/>
          </w:tcPr>
          <w:p w14:paraId="594FFFE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新增 PNG、CSV、TXT 报告统一保存</w:t>
            </w:r>
          </w:p>
        </w:tc>
      </w:tr>
    </w:tbl>
    <w:p w14:paraId="4DEFEFB4">
      <w:pPr>
        <w:pStyle w:val="3"/>
      </w:pPr>
      <w:r>
        <w:rPr>
          <w:rFonts w:ascii="微软雅黑" w:hAnsi="微软雅黑" w:eastAsia="微软雅黑"/>
        </w:rPr>
        <w:t>三、新增功能一：一维切面图</w:t>
      </w:r>
    </w:p>
    <w:p w14:paraId="1F232723">
      <w:r>
        <w:rPr>
          <w:rFonts w:ascii="宋体" w:hAnsi="宋体" w:eastAsia="宋体"/>
          <w:b/>
          <w:color w:val="1F4E79"/>
          <w:sz w:val="21"/>
        </w:rPr>
        <w:t>该功能对应需求：支持固定 Theta 扫描 Phi，或固定 Phi 扫描 Theta，绘制一维切面图。</w:t>
      </w:r>
    </w:p>
    <w:p w14:paraId="67AC8F21">
      <w:r>
        <w:rPr>
          <w:rFonts w:ascii="宋体" w:hAnsi="宋体" w:eastAsia="宋体"/>
          <w:b w:val="0"/>
          <w:sz w:val="21"/>
        </w:rPr>
        <w:t>新增点：固定角度不再要求是单个标量，可以输入多个 Phi 或多个 Theta，并将多条曲线画在同一张图中，便于比较不同切面。</w:t>
      </w:r>
    </w:p>
    <w:p w14:paraId="7DE549CA">
      <w:pPr>
        <w:pStyle w:val="16"/>
      </w:pPr>
      <w:r>
        <w:rPr>
          <w:rFonts w:ascii="宋体" w:hAnsi="宋体" w:eastAsia="宋体"/>
          <w:sz w:val="20"/>
        </w:rPr>
        <w:t>固定 Phi 扫描 Theta：例如 Phi=90° 与 Phi=270°，用于对比弹尾方向切面和弹头方向切面。</w:t>
      </w:r>
    </w:p>
    <w:p w14:paraId="6FF1B0AA">
      <w:pPr>
        <w:pStyle w:val="16"/>
      </w:pPr>
      <w:r>
        <w:rPr>
          <w:rFonts w:ascii="宋体" w:hAnsi="宋体" w:eastAsia="宋体"/>
          <w:sz w:val="20"/>
        </w:rPr>
        <w:t>固定 Theta 扫描 Phi：例如 Theta=75°、90°、105°，用于观察不同水平切面上的方位角增益变化。</w:t>
      </w:r>
    </w:p>
    <w:p w14:paraId="64D2E2D8">
      <w:pPr>
        <w:jc w:val="center"/>
      </w:pPr>
      <w:r>
        <w:drawing>
          <wp:inline distT="0" distB="0" distL="114300" distR="114300">
            <wp:extent cx="5303520" cy="3975735"/>
            <wp:effectExtent l="0" t="0" r="5080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6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1DF0F">
      <w:pPr>
        <w:jc w:val="center"/>
      </w:pPr>
      <w:r>
        <w:rPr>
          <w:rFonts w:ascii="宋体" w:hAnsi="宋体" w:eastAsia="宋体"/>
          <w:b w:val="0"/>
          <w:sz w:val="18"/>
        </w:rPr>
        <w:t>图 1  固定 Phi 扫描 Theta 的一维切面图</w:t>
      </w:r>
    </w:p>
    <w:p w14:paraId="43AEF84E">
      <w:pPr>
        <w:jc w:val="center"/>
      </w:pPr>
      <w:r>
        <w:drawing>
          <wp:inline distT="0" distB="0" distL="114300" distR="114300">
            <wp:extent cx="5303520" cy="3975735"/>
            <wp:effectExtent l="0" t="0" r="5080" b="120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6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6D800">
      <w:pPr>
        <w:jc w:val="center"/>
      </w:pPr>
      <w:r>
        <w:rPr>
          <w:rFonts w:ascii="宋体" w:hAnsi="宋体" w:eastAsia="宋体"/>
          <w:b w:val="0"/>
          <w:sz w:val="18"/>
        </w:rPr>
        <w:t>图 2  固定 Theta 扫描 Phi 的一维切面图</w:t>
      </w:r>
    </w:p>
    <w:p w14:paraId="11A20A0F">
      <w:pPr>
        <w:pStyle w:val="3"/>
      </w:pPr>
      <w:r>
        <w:rPr>
          <w:rFonts w:ascii="微软雅黑" w:hAnsi="微软雅黑" w:eastAsia="微软雅黑"/>
        </w:rPr>
        <w:t>四、新增功能二：指定区域统计</w:t>
      </w:r>
    </w:p>
    <w:p w14:paraId="0F2B9FEE">
      <w:r>
        <w:rPr>
          <w:rFonts w:ascii="宋体" w:hAnsi="宋体" w:eastAsia="宋体"/>
          <w:b/>
          <w:color w:val="1F4E79"/>
          <w:sz w:val="21"/>
        </w:rPr>
        <w:t>该功能对应需求：支持指定角度区域统计 min / mean / max / median / std，以及 Gain 大于指定阈值的比例。</w:t>
      </w:r>
    </w:p>
    <w:p w14:paraId="4C24397B">
      <w:r>
        <w:rPr>
          <w:rFonts w:ascii="宋体" w:hAnsi="宋体" w:eastAsia="宋体"/>
          <w:b w:val="0"/>
          <w:sz w:val="21"/>
        </w:rPr>
        <w:t>本次默认统计弹尾 ±15° 区域：Phi=75°~105°，Theta=75°~105°，阈值为 -5 dBi。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5040"/>
      </w:tblGrid>
      <w:tr w14:paraId="07888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  <w:shd w:val="clear" w:color="auto" w:fill="1F4E79"/>
            <w:vAlign w:val="center"/>
          </w:tcPr>
          <w:p w14:paraId="232974DF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统计项</w:t>
            </w:r>
          </w:p>
        </w:tc>
        <w:tc>
          <w:tcPr>
            <w:tcW w:w="5040" w:type="dxa"/>
            <w:shd w:val="clear" w:color="auto" w:fill="1F4E79"/>
            <w:vAlign w:val="center"/>
          </w:tcPr>
          <w:p w14:paraId="05F668EA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结果</w:t>
            </w:r>
          </w:p>
        </w:tc>
      </w:tr>
      <w:tr w14:paraId="2F408C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  <w:vAlign w:val="center"/>
          </w:tcPr>
          <w:p w14:paraId="6520FBF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Region name</w:t>
            </w:r>
          </w:p>
        </w:tc>
        <w:tc>
          <w:tcPr>
            <w:tcW w:w="5040" w:type="dxa"/>
            <w:vAlign w:val="center"/>
          </w:tcPr>
          <w:p w14:paraId="1DD11DA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TailPm15</w:t>
            </w:r>
          </w:p>
        </w:tc>
      </w:tr>
      <w:tr w14:paraId="7FC10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  <w:vAlign w:val="center"/>
          </w:tcPr>
          <w:p w14:paraId="05EB6C7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Phi range</w:t>
            </w:r>
          </w:p>
        </w:tc>
        <w:tc>
          <w:tcPr>
            <w:tcW w:w="5040" w:type="dxa"/>
            <w:vAlign w:val="center"/>
          </w:tcPr>
          <w:p w14:paraId="740C491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75.000° ~ 105.000°</w:t>
            </w:r>
          </w:p>
        </w:tc>
      </w:tr>
      <w:tr w14:paraId="020584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  <w:vAlign w:val="center"/>
          </w:tcPr>
          <w:p w14:paraId="268D90A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Theta range</w:t>
            </w:r>
          </w:p>
        </w:tc>
        <w:tc>
          <w:tcPr>
            <w:tcW w:w="5040" w:type="dxa"/>
            <w:vAlign w:val="center"/>
          </w:tcPr>
          <w:p w14:paraId="0ECFC97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75.000° ~ 105.000°</w:t>
            </w:r>
          </w:p>
        </w:tc>
      </w:tr>
      <w:tr w14:paraId="3AE89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  <w:vAlign w:val="center"/>
          </w:tcPr>
          <w:p w14:paraId="34B89C4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Threshold</w:t>
            </w:r>
          </w:p>
        </w:tc>
        <w:tc>
          <w:tcPr>
            <w:tcW w:w="5040" w:type="dxa"/>
            <w:vAlign w:val="center"/>
          </w:tcPr>
          <w:p w14:paraId="61091AF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-5.000 dBi</w:t>
            </w:r>
          </w:p>
        </w:tc>
      </w:tr>
      <w:tr w14:paraId="7DA0B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  <w:vAlign w:val="center"/>
          </w:tcPr>
          <w:p w14:paraId="0BEB869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Gain min</w:t>
            </w:r>
          </w:p>
        </w:tc>
        <w:tc>
          <w:tcPr>
            <w:tcW w:w="5040" w:type="dxa"/>
            <w:vAlign w:val="center"/>
          </w:tcPr>
          <w:p w14:paraId="40F6F39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-1.307 dBi</w:t>
            </w:r>
          </w:p>
        </w:tc>
      </w:tr>
      <w:tr w14:paraId="01D99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  <w:vAlign w:val="center"/>
          </w:tcPr>
          <w:p w14:paraId="0B54EE6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Gain mean</w:t>
            </w:r>
          </w:p>
        </w:tc>
        <w:tc>
          <w:tcPr>
            <w:tcW w:w="5040" w:type="dxa"/>
            <w:vAlign w:val="center"/>
          </w:tcPr>
          <w:p w14:paraId="37E928F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-0.557 dBi</w:t>
            </w:r>
          </w:p>
        </w:tc>
      </w:tr>
      <w:tr w14:paraId="3D1395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  <w:vAlign w:val="center"/>
          </w:tcPr>
          <w:p w14:paraId="264EBB2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Gain max</w:t>
            </w:r>
          </w:p>
        </w:tc>
        <w:tc>
          <w:tcPr>
            <w:tcW w:w="5040" w:type="dxa"/>
            <w:vAlign w:val="center"/>
          </w:tcPr>
          <w:p w14:paraId="6DB1881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0.582 dBi</w:t>
            </w:r>
          </w:p>
        </w:tc>
      </w:tr>
      <w:tr w14:paraId="1ED08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  <w:vAlign w:val="center"/>
          </w:tcPr>
          <w:p w14:paraId="73864A7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Gain median</w:t>
            </w:r>
          </w:p>
        </w:tc>
        <w:tc>
          <w:tcPr>
            <w:tcW w:w="5040" w:type="dxa"/>
            <w:vAlign w:val="center"/>
          </w:tcPr>
          <w:p w14:paraId="49165BB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-0.708 dBi</w:t>
            </w:r>
          </w:p>
        </w:tc>
      </w:tr>
      <w:tr w14:paraId="164E7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  <w:vAlign w:val="center"/>
          </w:tcPr>
          <w:p w14:paraId="291F11B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Gain std</w:t>
            </w:r>
          </w:p>
        </w:tc>
        <w:tc>
          <w:tcPr>
            <w:tcW w:w="5040" w:type="dxa"/>
            <w:vAlign w:val="center"/>
          </w:tcPr>
          <w:p w14:paraId="4366669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0.516 dB</w:t>
            </w:r>
          </w:p>
        </w:tc>
      </w:tr>
      <w:tr w14:paraId="17E39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  <w:vAlign w:val="center"/>
          </w:tcPr>
          <w:p w14:paraId="7EA9CB7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Gain &gt; -5 dBi 比例</w:t>
            </w:r>
          </w:p>
        </w:tc>
        <w:tc>
          <w:tcPr>
            <w:tcW w:w="5040" w:type="dxa"/>
            <w:vAlign w:val="center"/>
          </w:tcPr>
          <w:p w14:paraId="0DF74FC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100.00%</w:t>
            </w:r>
          </w:p>
        </w:tc>
      </w:tr>
      <w:tr w14:paraId="35F5C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  <w:vAlign w:val="center"/>
          </w:tcPr>
          <w:p w14:paraId="2FBA9B7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Pass flag</w:t>
            </w:r>
          </w:p>
        </w:tc>
        <w:tc>
          <w:tcPr>
            <w:tcW w:w="5040" w:type="dxa"/>
            <w:vAlign w:val="center"/>
          </w:tcPr>
          <w:p w14:paraId="02B3C7B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</w:tr>
    </w:tbl>
    <w:p w14:paraId="1F3954E2">
      <w:pPr>
        <w:rPr>
          <w:rFonts w:ascii="宋体" w:hAnsi="宋体" w:eastAsia="宋体"/>
          <w:b/>
          <w:color w:val="C00000"/>
          <w:sz w:val="21"/>
        </w:rPr>
      </w:pPr>
      <w:r>
        <w:drawing>
          <wp:inline distT="0" distB="0" distL="114300" distR="114300">
            <wp:extent cx="6577330" cy="1764665"/>
            <wp:effectExtent l="0" t="0" r="1270" b="63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77330" cy="176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BF543">
      <w:r>
        <w:rPr>
          <w:rFonts w:ascii="宋体" w:hAnsi="宋体" w:eastAsia="宋体"/>
          <w:b/>
          <w:color w:val="C00000"/>
          <w:sz w:val="21"/>
        </w:rPr>
        <w:t>结论：弹尾 ±15° 区域内 Gain &gt; -5 dBi 的比例为 100.00%，区域最小值为 -1.307 dBi，高于 -5 dBi，因此满足当前弹载方向图指标。</w:t>
      </w:r>
    </w:p>
    <w:p w14:paraId="46318080">
      <w:pPr>
        <w:pStyle w:val="3"/>
      </w:pPr>
      <w:r>
        <w:rPr>
          <w:rFonts w:ascii="微软雅黑" w:hAnsi="微软雅黑" w:eastAsia="微软雅黑"/>
        </w:rPr>
        <w:t>五、新增功能三：关键方向增益表</w:t>
      </w:r>
    </w:p>
    <w:p w14:paraId="6121DBE4">
      <w:r>
        <w:rPr>
          <w:rFonts w:ascii="宋体" w:hAnsi="宋体" w:eastAsia="宋体"/>
          <w:b w:val="0"/>
          <w:sz w:val="21"/>
        </w:rPr>
        <w:t>该功能用于快速查看弹头、弹尾、侧面、Z 轴/主辐射方向等典型方向的 Gain，便于组会汇报和后续测试核对。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016"/>
        <w:gridCol w:w="2016"/>
        <w:gridCol w:w="2160"/>
      </w:tblGrid>
      <w:tr w14:paraId="2330E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1F4E79"/>
            <w:vAlign w:val="center"/>
          </w:tcPr>
          <w:p w14:paraId="6432452D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方向</w:t>
            </w:r>
          </w:p>
        </w:tc>
        <w:tc>
          <w:tcPr>
            <w:tcW w:w="2016" w:type="dxa"/>
            <w:shd w:val="clear" w:color="auto" w:fill="1F4E79"/>
            <w:vAlign w:val="center"/>
          </w:tcPr>
          <w:p w14:paraId="3D395B8C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Phi</w:t>
            </w:r>
          </w:p>
        </w:tc>
        <w:tc>
          <w:tcPr>
            <w:tcW w:w="2016" w:type="dxa"/>
            <w:shd w:val="clear" w:color="auto" w:fill="1F4E79"/>
            <w:vAlign w:val="center"/>
          </w:tcPr>
          <w:p w14:paraId="6DEE3464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Theta</w:t>
            </w:r>
          </w:p>
        </w:tc>
        <w:tc>
          <w:tcPr>
            <w:tcW w:w="2160" w:type="dxa"/>
            <w:shd w:val="clear" w:color="auto" w:fill="1F4E79"/>
            <w:vAlign w:val="center"/>
          </w:tcPr>
          <w:p w14:paraId="5A03A508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Gain</w:t>
            </w:r>
          </w:p>
        </w:tc>
      </w:tr>
      <w:tr w14:paraId="5CD60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5327535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head</w:t>
            </w:r>
          </w:p>
        </w:tc>
        <w:tc>
          <w:tcPr>
            <w:tcW w:w="2016" w:type="dxa"/>
            <w:vAlign w:val="center"/>
          </w:tcPr>
          <w:p w14:paraId="5CB6875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270.000°</w:t>
            </w:r>
          </w:p>
        </w:tc>
        <w:tc>
          <w:tcPr>
            <w:tcW w:w="2016" w:type="dxa"/>
            <w:vAlign w:val="center"/>
          </w:tcPr>
          <w:p w14:paraId="3BF3830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90.000°</w:t>
            </w:r>
          </w:p>
        </w:tc>
        <w:tc>
          <w:tcPr>
            <w:tcW w:w="2160" w:type="dxa"/>
            <w:vAlign w:val="center"/>
          </w:tcPr>
          <w:p w14:paraId="2791DED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1.150 dBi</w:t>
            </w:r>
          </w:p>
        </w:tc>
      </w:tr>
      <w:tr w14:paraId="26D91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508D3A0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tail</w:t>
            </w:r>
          </w:p>
        </w:tc>
        <w:tc>
          <w:tcPr>
            <w:tcW w:w="2016" w:type="dxa"/>
            <w:vAlign w:val="center"/>
          </w:tcPr>
          <w:p w14:paraId="6B20A5C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90.000°</w:t>
            </w:r>
          </w:p>
        </w:tc>
        <w:tc>
          <w:tcPr>
            <w:tcW w:w="2016" w:type="dxa"/>
            <w:vAlign w:val="center"/>
          </w:tcPr>
          <w:p w14:paraId="3D2285A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90.000°</w:t>
            </w:r>
          </w:p>
        </w:tc>
        <w:tc>
          <w:tcPr>
            <w:tcW w:w="2160" w:type="dxa"/>
            <w:vAlign w:val="center"/>
          </w:tcPr>
          <w:p w14:paraId="0F87482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-0.665 dBi</w:t>
            </w:r>
          </w:p>
        </w:tc>
      </w:tr>
      <w:tr w14:paraId="4294F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58E6358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side0</w:t>
            </w:r>
          </w:p>
        </w:tc>
        <w:tc>
          <w:tcPr>
            <w:tcW w:w="2016" w:type="dxa"/>
            <w:vAlign w:val="center"/>
          </w:tcPr>
          <w:p w14:paraId="5F33670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0.000°</w:t>
            </w:r>
          </w:p>
        </w:tc>
        <w:tc>
          <w:tcPr>
            <w:tcW w:w="2016" w:type="dxa"/>
            <w:vAlign w:val="center"/>
          </w:tcPr>
          <w:p w14:paraId="5DF60C4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90.000°</w:t>
            </w:r>
          </w:p>
        </w:tc>
        <w:tc>
          <w:tcPr>
            <w:tcW w:w="2160" w:type="dxa"/>
            <w:vAlign w:val="center"/>
          </w:tcPr>
          <w:p w14:paraId="73C7862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-2.875 dBi</w:t>
            </w:r>
          </w:p>
        </w:tc>
      </w:tr>
      <w:tr w14:paraId="6A0BC9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503D6DF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side180</w:t>
            </w:r>
          </w:p>
        </w:tc>
        <w:tc>
          <w:tcPr>
            <w:tcW w:w="2016" w:type="dxa"/>
            <w:vAlign w:val="center"/>
          </w:tcPr>
          <w:p w14:paraId="5023243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180.000°</w:t>
            </w:r>
          </w:p>
        </w:tc>
        <w:tc>
          <w:tcPr>
            <w:tcW w:w="2016" w:type="dxa"/>
            <w:vAlign w:val="center"/>
          </w:tcPr>
          <w:p w14:paraId="263030F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90.000°</w:t>
            </w:r>
          </w:p>
        </w:tc>
        <w:tc>
          <w:tcPr>
            <w:tcW w:w="2160" w:type="dxa"/>
            <w:vAlign w:val="center"/>
          </w:tcPr>
          <w:p w14:paraId="3F91D37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-2.912 dBi</w:t>
            </w:r>
          </w:p>
        </w:tc>
      </w:tr>
      <w:tr w14:paraId="2E686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5477D97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top</w:t>
            </w:r>
          </w:p>
        </w:tc>
        <w:tc>
          <w:tcPr>
            <w:tcW w:w="2016" w:type="dxa"/>
            <w:vAlign w:val="center"/>
          </w:tcPr>
          <w:p w14:paraId="1F8DE41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0.000°</w:t>
            </w:r>
          </w:p>
        </w:tc>
        <w:tc>
          <w:tcPr>
            <w:tcW w:w="2016" w:type="dxa"/>
            <w:vAlign w:val="center"/>
          </w:tcPr>
          <w:p w14:paraId="65B9B11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0.000°</w:t>
            </w:r>
          </w:p>
        </w:tc>
        <w:tc>
          <w:tcPr>
            <w:tcW w:w="2160" w:type="dxa"/>
            <w:vAlign w:val="center"/>
          </w:tcPr>
          <w:p w14:paraId="2A9740D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3.761 dBi</w:t>
            </w:r>
          </w:p>
        </w:tc>
      </w:tr>
    </w:tbl>
    <w:p w14:paraId="24FDF067">
      <w:r>
        <w:rPr>
          <w:rFonts w:ascii="宋体" w:hAnsi="宋体" w:eastAsia="宋体"/>
          <w:b w:val="0"/>
          <w:sz w:val="21"/>
        </w:rPr>
        <w:t>结果显示：Z 轴/主辐射方向 top 增益最高，为 3.761 dBi；弹尾方向 tail 为 -0.665 dBi，高于 -5 dBi 指标。</w:t>
      </w:r>
    </w:p>
    <w:p w14:paraId="42CA28F3">
      <w:pPr>
        <w:pStyle w:val="3"/>
      </w:pPr>
      <w:r>
        <w:rPr>
          <w:rFonts w:ascii="微软雅黑" w:hAnsi="微软雅黑" w:eastAsia="微软雅黑"/>
        </w:rPr>
        <w:t>六、新增功能四：滑块与手动输入查询</w:t>
      </w:r>
    </w:p>
    <w:p w14:paraId="14C04225">
      <w:r>
        <w:rPr>
          <w:rFonts w:ascii="宋体" w:hAnsi="宋体" w:eastAsia="宋体"/>
          <w:b/>
          <w:color w:val="1F4E79"/>
          <w:sz w:val="21"/>
        </w:rPr>
        <w:t>该功能对应需求：支持手动输入指定 Phi / Theta 查询对应 Gain，并在滑块交互界面中同步显示当前位置。</w:t>
      </w:r>
    </w:p>
    <w:p w14:paraId="34A1925A">
      <w:pPr>
        <w:pStyle w:val="16"/>
      </w:pPr>
      <w:r>
        <w:rPr>
          <w:rFonts w:ascii="宋体" w:hAnsi="宋体" w:eastAsia="宋体"/>
          <w:sz w:val="20"/>
        </w:rPr>
        <w:t>拖动 Phi / Theta 滑块后，界面实时更新当前位置和 Gain。</w:t>
      </w:r>
    </w:p>
    <w:p w14:paraId="421AE925">
      <w:pPr>
        <w:pStyle w:val="16"/>
      </w:pPr>
      <w:r>
        <w:rPr>
          <w:rFonts w:ascii="宋体" w:hAnsi="宋体" w:eastAsia="宋体"/>
          <w:sz w:val="20"/>
        </w:rPr>
        <w:t>也可以直接在输入框中手动输入 Phi / Theta 数值，点击查询后得到该方向 Gain。</w:t>
      </w:r>
    </w:p>
    <w:p w14:paraId="79D02D5D">
      <w:pPr>
        <w:pStyle w:val="16"/>
      </w:pPr>
      <w:r>
        <w:rPr>
          <w:rFonts w:ascii="宋体" w:hAnsi="宋体" w:eastAsia="宋体"/>
          <w:sz w:val="20"/>
        </w:rPr>
        <w:t>该功能用于快速验证弹头、弹尾、侧面、Z 轴等关键方向，不一定生成静态图片，主要对应交互窗口 OpenPatternSlider。</w:t>
      </w:r>
    </w:p>
    <w:p w14:paraId="592400CB">
      <w:pPr>
        <w:rPr>
          <w:rFonts w:ascii="宋体" w:hAnsi="宋体" w:eastAsia="宋体"/>
          <w:b w:val="0"/>
          <w:sz w:val="21"/>
        </w:rPr>
      </w:pPr>
      <w:r>
        <w:rPr>
          <w:rFonts w:ascii="宋体" w:hAnsi="宋体" w:eastAsia="宋体"/>
          <w:b w:val="0"/>
          <w:sz w:val="21"/>
        </w:rPr>
        <w:t>说明：该功能已通过 mainPlotGain 调用 OpenPatternSlider(Pattern) 接入。运行 mainPlotGain 后会自动打开交互界面。</w:t>
      </w:r>
    </w:p>
    <w:p w14:paraId="6E39EA47">
      <w:pPr>
        <w:rPr>
          <w:rFonts w:ascii="宋体" w:hAnsi="宋体" w:eastAsia="宋体"/>
          <w:b w:val="0"/>
          <w:sz w:val="21"/>
        </w:rPr>
      </w:pPr>
      <w:r>
        <w:drawing>
          <wp:inline distT="0" distB="0" distL="114300" distR="114300">
            <wp:extent cx="6569075" cy="3452495"/>
            <wp:effectExtent l="0" t="0" r="9525" b="190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69075" cy="345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D3B87">
      <w:pPr>
        <w:pStyle w:val="3"/>
      </w:pPr>
      <w:r>
        <w:rPr>
          <w:rFonts w:ascii="微软雅黑" w:hAnsi="微软雅黑" w:eastAsia="微软雅黑"/>
        </w:rPr>
        <w:t>七、保留功能：二维等高线图</w:t>
      </w:r>
    </w:p>
    <w:p w14:paraId="684C88AE">
      <w:r>
        <w:rPr>
          <w:rFonts w:ascii="宋体" w:hAnsi="宋体" w:eastAsia="宋体"/>
          <w:b w:val="0"/>
          <w:sz w:val="21"/>
        </w:rPr>
        <w:t>二维等高线图是原有功能，本次保留并规范输出。该图用于观察弹载天线方向图整体分布。</w:t>
      </w:r>
    </w:p>
    <w:p w14:paraId="191D2E73">
      <w:pPr>
        <w:jc w:val="center"/>
      </w:pPr>
      <w:r>
        <w:drawing>
          <wp:inline distT="0" distB="0" distL="114300" distR="114300">
            <wp:extent cx="5303520" cy="3975735"/>
            <wp:effectExtent l="0" t="0" r="5080" b="1206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6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D6590">
      <w:pPr>
        <w:jc w:val="center"/>
      </w:pPr>
      <w:r>
        <w:rPr>
          <w:rFonts w:ascii="宋体" w:hAnsi="宋体" w:eastAsia="宋体"/>
          <w:b w:val="0"/>
          <w:sz w:val="18"/>
        </w:rPr>
        <w:t>图 3  弹载天线二维方向图：Phi / Theta / Gain</w:t>
      </w:r>
    </w:p>
    <w:p w14:paraId="300248CB">
      <w:pPr>
        <w:pStyle w:val="3"/>
      </w:pPr>
      <w:r>
        <w:rPr>
          <w:rFonts w:ascii="微软雅黑" w:hAnsi="微软雅黑" w:eastAsia="微软雅黑"/>
        </w:rPr>
        <w:t>八、输出文件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6336"/>
      </w:tblGrid>
      <w:tr w14:paraId="7CC62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1F4E79"/>
            <w:vAlign w:val="center"/>
          </w:tcPr>
          <w:p w14:paraId="46E3B942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输出类型</w:t>
            </w:r>
          </w:p>
        </w:tc>
        <w:tc>
          <w:tcPr>
            <w:tcW w:w="6336" w:type="dxa"/>
            <w:shd w:val="clear" w:color="auto" w:fill="1F4E79"/>
            <w:vAlign w:val="center"/>
          </w:tcPr>
          <w:p w14:paraId="50A89306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文件名</w:t>
            </w:r>
          </w:p>
        </w:tc>
      </w:tr>
      <w:tr w14:paraId="4A1B3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7ED34C6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二维方向图</w:t>
            </w:r>
          </w:p>
        </w:tc>
        <w:tc>
          <w:tcPr>
            <w:tcW w:w="6336" w:type="dxa"/>
            <w:vAlign w:val="center"/>
          </w:tcPr>
          <w:p w14:paraId="2FB12E4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314B_Air_RealizedGainPlot_Contour.png</w:t>
            </w:r>
          </w:p>
        </w:tc>
      </w:tr>
      <w:tr w14:paraId="3FE0A3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786CB50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固定 Phi 切面图</w:t>
            </w:r>
          </w:p>
        </w:tc>
        <w:tc>
          <w:tcPr>
            <w:tcW w:w="6336" w:type="dxa"/>
            <w:vAlign w:val="center"/>
          </w:tcPr>
          <w:p w14:paraId="21210B9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314B_Air_RealizedGainPlot_FixedPhiScanTheta.png</w:t>
            </w:r>
          </w:p>
        </w:tc>
      </w:tr>
      <w:tr w14:paraId="6432E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18B58E6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固定 Theta 切面图</w:t>
            </w:r>
          </w:p>
        </w:tc>
        <w:tc>
          <w:tcPr>
            <w:tcW w:w="6336" w:type="dxa"/>
            <w:vAlign w:val="center"/>
          </w:tcPr>
          <w:p w14:paraId="2397C05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314B_Air_RealizedGainPlot_FixedThetaScanPhi.png</w:t>
            </w:r>
          </w:p>
        </w:tc>
      </w:tr>
      <w:tr w14:paraId="17BEC4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1F2EAF7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区域统计结果</w:t>
            </w:r>
          </w:p>
        </w:tc>
        <w:tc>
          <w:tcPr>
            <w:tcW w:w="6336" w:type="dxa"/>
            <w:vAlign w:val="center"/>
          </w:tcPr>
          <w:p w14:paraId="4A07CE5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314B_Air_RealizedGainPlot_RegionStats.csv</w:t>
            </w:r>
          </w:p>
        </w:tc>
      </w:tr>
      <w:tr w14:paraId="779CA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305ADBC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关键方向增益表</w:t>
            </w:r>
          </w:p>
        </w:tc>
        <w:tc>
          <w:tcPr>
            <w:tcW w:w="6336" w:type="dxa"/>
            <w:vAlign w:val="center"/>
          </w:tcPr>
          <w:p w14:paraId="125035B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314B_Air_RealizedGainPlot_KeyDirectionGain.csv</w:t>
            </w:r>
          </w:p>
        </w:tc>
      </w:tr>
      <w:tr w14:paraId="3BA9F4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4F5535B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切面数据</w:t>
            </w:r>
          </w:p>
        </w:tc>
        <w:tc>
          <w:tcPr>
            <w:tcW w:w="6336" w:type="dxa"/>
            <w:vAlign w:val="center"/>
          </w:tcPr>
          <w:p w14:paraId="363F5F3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314B_Air_RealizedGainPlot_CutData.csv</w:t>
            </w:r>
          </w:p>
        </w:tc>
      </w:tr>
      <w:tr w14:paraId="1E8D9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4E9090C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TXT 报告</w:t>
            </w:r>
          </w:p>
        </w:tc>
        <w:tc>
          <w:tcPr>
            <w:tcW w:w="6336" w:type="dxa"/>
            <w:vAlign w:val="center"/>
          </w:tcPr>
          <w:p w14:paraId="7496566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314B_Air_RealizedGainPlot_AnalysisReport.txt</w:t>
            </w:r>
          </w:p>
        </w:tc>
      </w:tr>
    </w:tbl>
    <w:p w14:paraId="60FEFBCF">
      <w:pPr>
        <w:rPr>
          <w:rFonts w:hint="eastAsia" w:eastAsia="宋体"/>
          <w:lang w:eastAsia="zh-CN"/>
        </w:rPr>
      </w:pPr>
    </w:p>
    <w:sectPr>
      <w:pgSz w:w="12240" w:h="15840"/>
      <w:pgMar w:top="792" w:right="936" w:bottom="792" w:left="93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4184E92"/>
    <w:rsid w:val="5394300C"/>
    <w:rsid w:val="550B71E8"/>
    <w:rsid w:val="56FC3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1238</Words>
  <Characters>1947</Characters>
  <Lines>0</Lines>
  <Paragraphs>0</Paragraphs>
  <TotalTime>221</TotalTime>
  <ScaleCrop>false</ScaleCrop>
  <LinksUpToDate>false</LinksUpToDate>
  <CharactersWithSpaces>2135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林怡</cp:lastModifiedBy>
  <dcterms:modified xsi:type="dcterms:W3CDTF">2026-06-02T04:30:10Z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eyJoZGlkIjoiNjM1NjM0MmJjZDgwODllNjQ4ZmIzMGE4ZmExZDU2MDYiLCJ1c2VySWQiOiIxNzI1NDc1NjkyIn0=</vt:lpwstr>
  </property>
  <property fmtid="{D5CDD505-2E9C-101B-9397-08002B2CF9AE}" pid="3" name="KSOProductBuildVer">
    <vt:lpwstr>2052-12.1.0.26375</vt:lpwstr>
  </property>
  <property fmtid="{D5CDD505-2E9C-101B-9397-08002B2CF9AE}" pid="4" name="ICV">
    <vt:lpwstr>545974C96755485090ECD3B550511CBA_12</vt:lpwstr>
  </property>
</Properties>
</file>