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一、登陆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手机号码：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密    码: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忘记密码   记住账号（自动登陆）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登陆  注册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二、注册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手机号码：          发送验证码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验证码：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昵称：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密码：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重复密码：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确认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三、大厅两款玩法：幸运28、加拿大28，点击游戏直接进入房间下注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四、查（输入数量发送给后台，查即上分）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充值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输入数量：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  确认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五、回（输入数量发送给后台，回即下分）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取现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输入数量：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确认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六、游戏界面  下注和聊天室切换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a显示下局开奖倒计时：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b显示账余额：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c显示上一期或者最近10期产品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d下注记录-滚动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e投入输入框  发送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F投注记录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</w:t>
      </w:r>
      <w:r>
        <w:rPr>
          <w:rFonts w:hint="default" w:ascii="Calibri" w:hAnsi="宋体" w:eastAsia="宋体"/>
          <w:color w:val="auto"/>
          <w:spacing w:val="0"/>
          <w:position w:val="0"/>
          <w:sz w:val="21"/>
          <w:szCs w:val="21"/>
        </w:rPr>
        <w:t>H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走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势图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Y玩法介绍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七、下注规则，赔率后台设置，幸运28和加拿大28</w:t>
      </w:r>
      <w:commentRangeStart w:id="0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赔率</w:t>
      </w:r>
      <w:commentRangeEnd w:id="0"/>
      <w:r>
        <w:commentReference w:id="0"/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不一致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 xml:space="preserve"> 客户自己设定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下注最低10元，最高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客户自己设定   下注注数为整数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开奖前提前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30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秒封注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封注前可以撤销。可以重新下注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commentRangeStart w:id="1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下注</w:t>
      </w:r>
      <w:commentRangeEnd w:id="1"/>
      <w:r>
        <w:commentReference w:id="1"/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错误提示：1 下注格式不正确，投注无效  2金豆不足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新增：下注格式  哈大  哈小  哈单  哈双  哈大单  哈大双  哈小单  哈小双，哈的意思全买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 xml:space="preserve">下注格式  大100 100大   小100   100小    单100  100单      大单100  100大单   小单100  100小单   大双100   100大双   小双100   100小双       顺子100  100顺子   豹子100  100豹子  对子100     100对子    1.100  1艹100   1操100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幸运28  5分钟一期   加拿大3分钟一期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开奖前30秒封盘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小100   （0-13） 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三个数字相加之和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大100   （14-27）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单100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双100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大单100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小单100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大双100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小双100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对子100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顺子100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豹子100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单点下注（每个数字的赔率不一致）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单点下注输入规则：1点100  1艹100  1.100 1操100 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单点格式   1.100   1艹100   1操100    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1.100就是1号 买100块钱的意思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极大100 （22-27）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极小100（0-5）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八、回水规则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a下注11期 （0-24：00）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b 组合比例占下单总数15%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c输500-999 回8%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输1000-9999回 10%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输10000-49999 回12%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输50000回15%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  <w:commentRangeStart w:id="2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每天结算12点，后台可以随时看见</w:t>
      </w:r>
      <w:commentRangeEnd w:id="2"/>
      <w:r>
        <w:commentReference w:id="2"/>
      </w:r>
      <w:r>
        <w:rPr>
          <w:rFonts w:hint="eastAsia" w:eastAsia="宋体"/>
          <w:lang w:val="en-US" w:eastAsia="zh-CN"/>
        </w:rPr>
        <w:t xml:space="preserve">           </w:t>
      </w:r>
      <w:r>
        <w:rPr>
          <w:rFonts w:hint="eastAsia" w:eastAsia="宋体"/>
          <w:color w:val="FF0000"/>
          <w:lang w:val="en-US" w:eastAsia="zh-CN"/>
        </w:rPr>
        <w:t>晚上24:00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九、聊天室  多人在线群聊，可以编辑文字，表情，语音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十、每天系统的结算时间</w:t>
      </w:r>
      <w:commentRangeStart w:id="3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11：55.</w:t>
      </w:r>
      <w:commentRangeEnd w:id="3"/>
      <w:r>
        <w:commentReference w:id="3"/>
      </w:r>
      <w:r>
        <w:rPr>
          <w:rFonts w:hint="eastAsia" w:eastAsia="宋体"/>
          <w:lang w:val="en-US" w:eastAsia="zh-CN"/>
        </w:rPr>
        <w:t xml:space="preserve">              </w:t>
      </w:r>
      <w:r>
        <w:rPr>
          <w:rFonts w:hint="eastAsia" w:eastAsia="宋体"/>
          <w:color w:val="FF0000"/>
          <w:lang w:val="en-US" w:eastAsia="zh-CN"/>
        </w:rPr>
        <w:t>晚上23:55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6930" w:firstLineChars="330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eastAsia="zh-CN"/>
        </w:rPr>
        <w:t>两个时间都要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十一、客服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显示后台编辑的 微信  QQ号码 （可以复制）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可以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  <w:t>跳转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到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QQ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和客服聊天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十二、拉手有自己的分销二维码，可以扫码编辑成为他的下线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 xml:space="preserve"> 拉手的反水比例10%,15%,20% ,25%,30%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十三、后台管理系统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1 查看所有玩家的详细信息，可以修改玩家昵称，可以修改金豆，锁定账号禁止登陆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2 “查”的申请列表 统计今日总查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3“查”记录（保存一周数据，可以通过昵称搜索单人明细）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4回的申请列表  统计今日总回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5回的记录（保存一周数据，可以通过昵称搜索单人明细）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bookmarkStart w:id="0" w:name="_GoBack"/>
      <w:bookmarkEnd w:id="0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6管理员可以再下注页面发送公告。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7管理员可以再聊天室发言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8统计每个玩家的输赢记录，统计今日总输赢，按时间搜索汇总输赢，按时间搜索并通过昵称搜索单人总输赢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9统计每个玩家的回水明细。今天回水统计，可以通过昵称搜索单人明细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10设置某个玩家为拉手。通过这个拉手二维码进入游戏，安周结算，输赢有返利，设置每个拉手的</w:t>
      </w:r>
      <w:commentRangeStart w:id="4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反水比例</w:t>
      </w:r>
      <w:commentRangeEnd w:id="4"/>
      <w:r>
        <w:commentReference w:id="4"/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eastAsia="宋体"/>
          <w:lang w:val="en-US" w:eastAsia="zh-CN"/>
        </w:rPr>
        <w:t>+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十四：</w:t>
      </w:r>
      <w:commentRangeStart w:id="5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抽奖的门槛</w:t>
      </w:r>
      <w:commentRangeEnd w:id="5"/>
      <w:r>
        <w:commentReference w:id="5"/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：3个条件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210" w:firstLineChars="10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新用户注册  可以抽一次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210" w:firstLineChars="10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每天下注 达到10期  可以抽奖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210" w:firstLineChars="10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每人每天限一次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抽奖的逻辑：</w:t>
      </w:r>
      <w:commentRangeStart w:id="6"/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4种奖金额度</w:t>
      </w:r>
      <w:commentRangeEnd w:id="6"/>
      <w:r>
        <w:commentReference w:id="6"/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，加一种没中奖提示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奖金额度  5.88   8.88   16.88   18.88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每天由后台设置奖金总额。奖池的金额=设置奖金的额度-已经抽奖金额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eastAsia="zh-CN"/>
        </w:rPr>
        <w:t>注：当奖池的里的金额已经低于</w:t>
      </w: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val="en-US" w:eastAsia="zh-CN"/>
        </w:rPr>
        <w:t>5.88，有玩家抽中5.88/8.88/16.88/18.88  怎么处理？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后台统计每条抽奖的明细和明天发出去的总额。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十五 用户帐变明细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查看每笔账户的资金变化明细。（增加或者减少）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smallCaps w:val="0"/>
          <w:color w:val="FF0000"/>
          <w:spacing w:val="0"/>
          <w:position w:val="0"/>
          <w:sz w:val="21"/>
          <w:szCs w:val="21"/>
          <w:lang w:eastAsia="zh-CN"/>
        </w:rPr>
        <w:t>新增：</w:t>
      </w:r>
      <w:r>
        <w:rPr>
          <w:rFonts w:hint="default" w:ascii="Calibri" w:hAnsi="宋体" w:eastAsia="宋体"/>
          <w:smallCaps w:val="0"/>
          <w:color w:val="FF0000"/>
          <w:spacing w:val="0"/>
          <w:position w:val="0"/>
          <w:sz w:val="21"/>
          <w:szCs w:val="21"/>
        </w:rPr>
        <w:t>个人中心  显示 玩家当天的下注总流水  组合比例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zuser" w:date="2018-04-26T15:25:13Z" w:initials="">
    <w:p w14:paraId="5B154FD4">
      <w:pPr>
        <w:pStyle w:val="1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具体的赔率</w:t>
      </w:r>
    </w:p>
  </w:comment>
  <w:comment w:id="1" w:author="qzuser" w:date="2018-04-26T15:23:35Z" w:initials="">
    <w:p w14:paraId="78782F09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下注的注数设定？</w:t>
      </w:r>
    </w:p>
  </w:comment>
  <w:comment w:id="2" w:author="qzuser" w:date="2018-05-07T15:42:29Z" w:initials="">
    <w:p w14:paraId="1AFD18F9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两个结算时间，以哪个时间为准？</w:t>
      </w:r>
    </w:p>
  </w:comment>
  <w:comment w:id="3" w:author="qzuser" w:date="2018-05-07T15:42:22Z" w:initials="">
    <w:p w14:paraId="2A7F1C8B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两个结算时间，以哪个时间为准？</w:t>
      </w:r>
    </w:p>
    <w:p w14:paraId="37EB0C7C">
      <w:pPr>
        <w:pStyle w:val="12"/>
      </w:pPr>
    </w:p>
  </w:comment>
  <w:comment w:id="4" w:author="qzuser" w:date="2018-04-26T15:22:52Z" w:initials="">
    <w:p w14:paraId="3807229A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具体的反水比例是多少</w:t>
      </w:r>
    </w:p>
  </w:comment>
  <w:comment w:id="5" w:author="qzuser" w:date="2018-04-26T15:28:02Z" w:initials="">
    <w:p w14:paraId="25476200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哪</w:t>
      </w:r>
      <w:r>
        <w:rPr>
          <w:rFonts w:hint="eastAsia" w:eastAsia="宋体"/>
          <w:lang w:val="en-US" w:eastAsia="zh-CN"/>
        </w:rPr>
        <w:t>3个条件</w:t>
      </w:r>
    </w:p>
  </w:comment>
  <w:comment w:id="6" w:author="qzuser" w:date="2018-04-26T15:28:21Z" w:initials="">
    <w:p w14:paraId="4962580C">
      <w:pPr>
        <w:pStyle w:val="1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哪</w:t>
      </w:r>
      <w:r>
        <w:rPr>
          <w:rFonts w:hint="eastAsia" w:eastAsia="宋体"/>
          <w:lang w:val="en-US" w:eastAsia="zh-CN"/>
        </w:rPr>
        <w:t>4种奖金额度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154FD4" w15:done="0"/>
  <w15:commentEx w15:paraId="78782F09" w15:done="0"/>
  <w15:commentEx w15:paraId="1AFD18F9" w15:done="0"/>
  <w15:commentEx w15:paraId="37EB0C7C" w15:done="0"/>
  <w15:commentEx w15:paraId="3807229A" w15:done="0"/>
  <w15:commentEx w15:paraId="25476200" w15:done="0"/>
  <w15:commentEx w15:paraId="496258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zuser">
    <w15:presenceInfo w15:providerId="WPS Office" w15:userId="3695826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09AF1E9B"/>
    <w:rsid w:val="0AF257EA"/>
    <w:rsid w:val="4D6B01E2"/>
    <w:rsid w:val="56C4752D"/>
    <w:rsid w:val="76FE5AAF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6">
    <w:name w:val="Normal Table"/>
    <w:semiHidden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8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9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2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7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  <w:style w:type="table" w:customStyle="1" w:styleId="37">
    <w:name w:val="Calendar1"/>
    <w:basedOn w:val="26"/>
    <w:qFormat/>
    <w:uiPriority w:val="142"/>
    <w:pPr>
      <w:widowControl/>
      <w:wordWrap/>
      <w:autoSpaceDE/>
      <w:autoSpaceDN/>
    </w:pPr>
    <w:rPr>
      <w:w w:val="100"/>
      <w:sz w:val="22"/>
      <w:szCs w:val="22"/>
      <w:shd w:val="clear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both"/>
      </w:pPr>
      <w:rPr>
        <w:w w:val="100"/>
        <w:sz w:val="44"/>
        <w:szCs w:val="44"/>
        <w:shd w:val="clear"/>
      </w:r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38">
    <w:name w:val="Calendar2"/>
    <w:basedOn w:val="26"/>
    <w:qFormat/>
    <w:uiPriority w:val="143"/>
    <w:pPr>
      <w:widowControl/>
      <w:wordWrap/>
      <w:autoSpaceDE/>
      <w:autoSpaceDN/>
      <w:jc w:val="center"/>
    </w:pPr>
    <w:rPr>
      <w:w w:val="100"/>
      <w:sz w:val="28"/>
      <w:szCs w:val="28"/>
      <w:shd w:val="clear"/>
    </w:rPr>
    <w:tblPr>
      <w:tblBorders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5B9BD5" w:themeColor="accent1"/>
        <w:w w:val="100"/>
        <w:sz w:val="32"/>
        <w:szCs w:val="32"/>
        <w:shd w:val="clear"/>
        <w14:textFill>
          <w14:solidFill>
            <w14:schemeClr w14:val="accent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9">
    <w:name w:val="Calendar3"/>
    <w:basedOn w:val="26"/>
    <w:qFormat/>
    <w:uiPriority w:val="144"/>
    <w:pPr>
      <w:widowControl/>
      <w:wordWrap/>
      <w:autoSpaceDE/>
      <w:autoSpaceDN/>
      <w:jc w:val="right"/>
    </w:pPr>
    <w:rPr>
      <w:color w:val="000000" w:themeColor="text1"/>
      <w:w w:val="100"/>
      <w:sz w:val="22"/>
      <w:szCs w:val="22"/>
      <w:shd w:val="clear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right"/>
      </w:pPr>
      <w:rPr>
        <w:color w:val="5B9BD5" w:themeColor="accent1"/>
        <w:w w:val="100"/>
        <w:sz w:val="20"/>
        <w:szCs w:val="20"/>
        <w:shd w:val="clear"/>
        <w14:textFill>
          <w14:solidFill>
            <w14:schemeClr w14:val="accent1"/>
          </w14:solidFill>
        </w14:textFill>
      </w:rPr>
    </w:tblStylePr>
    <w:tblStylePr w:type="firstCol">
      <w:rPr>
        <w:color w:val="5B9BD5" w:themeColor="accent1"/>
        <w:w w:val="100"/>
        <w:sz w:val="20"/>
        <w:szCs w:val="20"/>
        <w:shd w:val="clear"/>
        <w14:textFill>
          <w14:solidFill>
            <w14:schemeClr w14:val="accent1"/>
          </w14:solidFill>
        </w14:textFill>
      </w:rPr>
    </w:tblStylePr>
    <w:tblStylePr w:type="lastCol">
      <w:rPr>
        <w:color w:val="5B9BD5" w:themeColor="accent1"/>
        <w:w w:val="100"/>
        <w:sz w:val="20"/>
        <w:szCs w:val="20"/>
        <w:shd w:val="clear"/>
        <w14:textFill>
          <w14:solidFill>
            <w14:schemeClr w14:val="accent1"/>
          </w14:solidFill>
        </w14:textFill>
      </w:rPr>
    </w:tblStylePr>
  </w:style>
  <w:style w:type="table" w:customStyle="1" w:styleId="40">
    <w:name w:val="Calendar4"/>
    <w:basedOn w:val="26"/>
    <w:qFormat/>
    <w:uiPriority w:val="145"/>
    <w:pPr>
      <w:widowControl/>
      <w:wordWrap/>
      <w:autoSpaceDE/>
      <w:autoSpaceDN/>
    </w:pPr>
    <w:rPr>
      <w:b/>
      <w:color w:val="FFFFFF" w:themeColor="background1"/>
      <w:w w:val="100"/>
      <w:sz w:val="16"/>
      <w:szCs w:val="16"/>
      <w:shd w:val="clear"/>
      <w14:textFill>
        <w14:solidFill>
          <w14:schemeClr w14:val="bg1"/>
        </w14:solidFill>
      </w14:textFill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1F4E79" w:themeFill="accent1" w:themeFillShade="80"/>
    </w:tcPr>
    <w:tblStylePr w:type="firstRow">
      <w:rPr>
        <w:color w:val="5B9BD5" w:themeColor="accent1"/>
        <w:w w:val="100"/>
        <w:sz w:val="8"/>
        <w:szCs w:val="8"/>
        <w:shd w:val="clear"/>
        <w14:textFill>
          <w14:solidFill>
            <w14:schemeClr w14:val="accent1"/>
          </w14:solidFill>
        </w14:textFill>
      </w:rPr>
    </w:tblStylePr>
    <w:tblStylePr w:type="firstCol">
      <w:pPr>
        <w:jc w:val="both"/>
      </w:pPr>
      <w:rPr>
        <w:b/>
        <w:color w:val="5B9BD5" w:themeColor="accent1"/>
        <w:w w:val="100"/>
        <w:sz w:val="20"/>
        <w:szCs w:val="20"/>
        <w:shd w:val="clear"/>
        <w14:textFill>
          <w14:solidFill>
            <w14:schemeClr w14:val="accent1"/>
          </w14:solidFill>
        </w14:textFill>
      </w:rPr>
    </w:tblStylePr>
    <w:tblStylePr w:type="band1Horz">
      <w:rPr>
        <w:w w:val="100"/>
        <w:sz w:val="16"/>
        <w:szCs w:val="16"/>
        <w:shd w:val="clear"/>
      </w:rPr>
    </w:tblStylePr>
    <w:tblStylePr w:type="band2Horz">
      <w:rPr>
        <w:w w:val="100"/>
        <w:sz w:val="28"/>
        <w:szCs w:val="28"/>
        <w:shd w:val="clear"/>
      </w:rPr>
      <w:tcPr>
        <w:tcMar>
          <w:top w:w="115" w:type="dxa"/>
          <w:left w:w="0" w:type="dxa"/>
          <w:bottom w:w="115" w:type="dxa"/>
          <w:right w:w="86" w:type="dxa"/>
        </w:tcMar>
      </w:tcPr>
    </w:tblStylePr>
    <w:tblStylePr w:type="nwCell">
      <w:rPr>
        <w:w w:val="100"/>
        <w:sz w:val="8"/>
        <w:szCs w:val="8"/>
        <w:shd w:val="clear"/>
      </w:rPr>
    </w:tblStylePr>
  </w:style>
  <w:style w:type="table" w:customStyle="1" w:styleId="41">
    <w:name w:val="LightShading-Accent1"/>
    <w:basedOn w:val="26"/>
    <w:qFormat/>
    <w:uiPriority w:val="146"/>
    <w:pPr>
      <w:widowControl/>
      <w:wordWrap/>
      <w:autoSpaceDE/>
      <w:autoSpaceDN/>
    </w:pPr>
    <w:rPr>
      <w:color w:val="3785CC" w:themeColor="accent1" w:themeShade="D9"/>
      <w:w w:val="100"/>
      <w:sz w:val="22"/>
      <w:szCs w:val="22"/>
      <w:shd w:val="clear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  <w:w w:val="100"/>
        <w:sz w:val="20"/>
        <w:szCs w:val="20"/>
        <w:shd w:val="clear"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jc w:val="both"/>
      </w:p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w w:val="100"/>
        <w:sz w:val="20"/>
        <w:szCs w:val="20"/>
        <w:shd w:val="clear"/>
      </w:rPr>
    </w:tblStylePr>
    <w:tblStylePr w:type="lastCol">
      <w:rPr>
        <w:b/>
        <w:w w:val="100"/>
        <w:sz w:val="20"/>
        <w:szCs w:val="20"/>
        <w:shd w:val="clear"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000000" w:fill="D7E6F4" w:themeFill="accent1" w:themeFillTint="3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000000" w:fill="D7E6F4" w:themeFill="accent1" w:themeFillTint="3E"/>
      </w:tcPr>
    </w:tblStylePr>
  </w:style>
  <w:style w:type="table" w:customStyle="1" w:styleId="42">
    <w:name w:val="MediumShading2-Accent5"/>
    <w:basedOn w:val="26"/>
    <w:qFormat/>
    <w:uiPriority w:val="147"/>
    <w:pPr>
      <w:widowControl/>
      <w:wordWrap/>
      <w:autoSpaceDE/>
      <w:autoSpaceDN/>
    </w:pPr>
    <w:rPr>
      <w:w w:val="100"/>
      <w:sz w:val="22"/>
      <w:szCs w:val="22"/>
      <w:shd w:val="clear"/>
    </w:rPr>
    <w:tblPr>
      <w:tblBorders>
        <w:top w:val="single" w:color="5B9BD5" w:themeColor="accent1" w:sz="18" w:space="0"/>
        <w:bottom w:val="single" w:color="5B9BD5" w:themeColor="accent1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  <w:color w:val="FFFFFF" w:themeColor="background1"/>
        <w:w w:val="100"/>
        <w:sz w:val="20"/>
        <w:szCs w:val="20"/>
        <w:shd w:val="clear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000000" w:fill="4472C4" w:themeFill="accent5"/>
      </w:tcPr>
    </w:tblStylePr>
    <w:tblStylePr w:type="lastRow">
      <w:pPr>
        <w:jc w:val="both"/>
      </w:pPr>
      <w:rPr>
        <w:b/>
        <w:w w:val="100"/>
        <w:sz w:val="20"/>
        <w:szCs w:val="20"/>
        <w:shd w:val="clear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/>
      </w:rPr>
    </w:tblStylePr>
    <w:tblStylePr w:type="lastCol">
      <w:rPr>
        <w:b/>
        <w:w w:val="100"/>
        <w:sz w:val="20"/>
        <w:szCs w:val="20"/>
        <w:shd w:val="clear"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000000" w:fill="D7E6F4" w:themeFill="accent1" w:themeFillTint="3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000000" w:fill="D7E6F4" w:themeFill="accent1" w:themeFillTint="3E"/>
      </w:tcPr>
    </w:tblStylePr>
  </w:style>
  <w:style w:type="table" w:customStyle="1" w:styleId="43">
    <w:name w:val="LightList"/>
    <w:basedOn w:val="26"/>
    <w:qFormat/>
    <w:uiPriority w:val="148"/>
    <w:rPr>
      <w:w w:val="100"/>
      <w:sz w:val="22"/>
      <w:szCs w:val="22"/>
      <w:shd w:val="clear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  <w:color w:val="FFFFFF" w:themeColor="background1"/>
        <w:w w:val="100"/>
        <w:sz w:val="20"/>
        <w:szCs w:val="20"/>
        <w:shd w:val="clear"/>
        <w14:textFill>
          <w14:solidFill>
            <w14:schemeClr w14:val="bg1"/>
          </w14:solidFill>
        </w14:textFill>
      </w:rPr>
      <w:tcPr>
        <w:shd w:val="clear" w:color="000000" w:fill="000000" w:themeFill="text1"/>
      </w:tcPr>
    </w:tblStylePr>
    <w:tblStylePr w:type="lastRow">
      <w:pPr>
        <w:jc w:val="both"/>
      </w:pPr>
      <w:rPr>
        <w:b/>
        <w:w w:val="100"/>
        <w:sz w:val="20"/>
        <w:szCs w:val="20"/>
        <w:shd w:val="clear"/>
      </w:rPr>
      <w:tcPr>
        <w:tcBorders>
          <w:top w:val="doub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</w:tcBorders>
      </w:tcPr>
    </w:tblStylePr>
    <w:tblStylePr w:type="firstCol">
      <w:rPr>
        <w:b/>
        <w:w w:val="100"/>
        <w:sz w:val="20"/>
        <w:szCs w:val="20"/>
        <w:shd w:val="clear"/>
      </w:rPr>
    </w:tblStylePr>
    <w:tblStylePr w:type="lastCol">
      <w:rPr>
        <w:b/>
        <w:w w:val="100"/>
        <w:sz w:val="20"/>
        <w:szCs w:val="20"/>
        <w:shd w:val="clear"/>
      </w:rPr>
    </w:tblStylePr>
    <w:tblStylePr w:type="band1Vert">
      <w:tcPr>
        <w:tcBorders>
          <w:top w:val="single" w:color="D7E6F4" w:themeColor="accent1" w:themeTint="3E" w:sz="8" w:space="0"/>
          <w:left w:val="single" w:color="D7E6F4" w:themeColor="accent1" w:themeTint="3E" w:sz="8" w:space="0"/>
          <w:bottom w:val="single" w:color="D7E6F4" w:themeColor="accent1" w:themeTint="3E" w:sz="8" w:space="0"/>
          <w:right w:val="single" w:color="D7E6F4" w:themeColor="accent1" w:themeTint="3E" w:sz="8" w:space="0"/>
        </w:tcBorders>
      </w:tcPr>
    </w:tblStylePr>
    <w:tblStylePr w:type="band1Horz">
      <w:tcPr>
        <w:tcBorders>
          <w:top w:val="single" w:color="D7E6F4" w:themeColor="accent1" w:themeTint="3E" w:sz="8" w:space="0"/>
          <w:left w:val="single" w:color="D7E6F4" w:themeColor="accent1" w:themeTint="3E" w:sz="8" w:space="0"/>
          <w:bottom w:val="single" w:color="D7E6F4" w:themeColor="accent1" w:themeTint="3E" w:sz="8" w:space="0"/>
          <w:right w:val="single" w:color="D7E6F4" w:themeColor="accent1" w:themeTint="3E" w:sz="8" w:space="0"/>
        </w:tcBorders>
      </w:tcPr>
    </w:tblStylePr>
  </w:style>
  <w:style w:type="table" w:customStyle="1" w:styleId="44">
    <w:name w:val="LightList-Accent3"/>
    <w:basedOn w:val="26"/>
    <w:qFormat/>
    <w:uiPriority w:val="149"/>
    <w:pPr>
      <w:widowControl/>
      <w:wordWrap/>
      <w:autoSpaceDE/>
      <w:autoSpaceDN/>
      <w:jc w:val="both"/>
    </w:pPr>
    <w:rPr>
      <w:w w:val="100"/>
      <w:sz w:val="22"/>
      <w:szCs w:val="22"/>
      <w:shd w:val="clear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  <w:color w:val="FFFFFF" w:themeColor="background1"/>
        <w:w w:val="100"/>
        <w:sz w:val="20"/>
        <w:szCs w:val="20"/>
        <w:shd w:val="clear"/>
        <w14:textFill>
          <w14:solidFill>
            <w14:schemeClr w14:val="bg1"/>
          </w14:solidFill>
        </w14:textFill>
      </w:rPr>
      <w:tcPr>
        <w:shd w:val="clear" w:color="000000" w:fill="A5A5A5" w:themeFill="accent3"/>
      </w:tcPr>
    </w:tblStylePr>
    <w:tblStylePr w:type="lastRow">
      <w:pPr>
        <w:jc w:val="both"/>
      </w:pPr>
      <w:rPr>
        <w:b/>
        <w:w w:val="100"/>
        <w:sz w:val="20"/>
        <w:szCs w:val="20"/>
        <w:shd w:val="clear"/>
      </w:rPr>
      <w:tcPr>
        <w:tcBorders>
          <w:top w:val="double" w:color="A5A5A5" w:themeColor="accent3" w:sz="6" w:space="0"/>
          <w:left w:val="single" w:color="A5A5A5" w:themeColor="accent3" w:sz="6" w:space="0"/>
          <w:bottom w:val="single" w:color="A5A5A5" w:themeColor="accent3" w:sz="6" w:space="0"/>
          <w:right w:val="single" w:color="A5A5A5" w:themeColor="accent3" w:sz="6" w:space="0"/>
        </w:tcBorders>
      </w:tcPr>
    </w:tblStylePr>
    <w:tblStylePr w:type="firstCol">
      <w:rPr>
        <w:b/>
        <w:w w:val="100"/>
        <w:sz w:val="20"/>
        <w:szCs w:val="20"/>
        <w:shd w:val="clear"/>
      </w:rPr>
    </w:tblStylePr>
    <w:tblStylePr w:type="lastCol">
      <w:rPr>
        <w:b/>
        <w:w w:val="100"/>
        <w:sz w:val="20"/>
        <w:szCs w:val="20"/>
        <w:shd w:val="clear"/>
      </w:r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customStyle="1" w:styleId="45">
    <w:name w:val="MediumList2-Accent1"/>
    <w:basedOn w:val="26"/>
    <w:qFormat/>
    <w:uiPriority w:val="150"/>
    <w:pPr>
      <w:widowControl/>
      <w:wordWrap/>
      <w:autoSpaceDE/>
      <w:autoSpaceDN/>
      <w:jc w:val="both"/>
    </w:pPr>
    <w:rPr>
      <w:color w:val="000000" w:themeColor="text1"/>
      <w:w w:val="100"/>
      <w:sz w:val="22"/>
      <w:szCs w:val="22"/>
      <w:shd w:val="clear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cPr>
        <w:tcBorders>
          <w:top w:val="single" w:color="5B9BD5" w:themeColor="accent1" w:sz="4" w:space="0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5B9BD5" w:themeColor="accent1" w:sz="4" w:space="0"/>
          <w:insideH w:val="nil"/>
          <w:insideV w:val="nil"/>
        </w:tcBorders>
        <w:shd w:val="clear" w:color="000000" w:fill="FFFFFF" w:themeFill="background1"/>
      </w:tcPr>
    </w:tblStylePr>
    <w:tblStylePr w:type="lastCol">
      <w:tcPr>
        <w:tcBorders>
          <w:top w:val="nil"/>
          <w:left w:val="single" w:color="5B9BD5" w:themeColor="accent1" w:sz="4" w:space="0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000000" w:fill="D7E6F4" w:themeFill="accent1" w:themeFillTint="3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000000" w:fill="D7E6F4" w:themeFill="accent1" w:themeFillTint="3E"/>
      </w:tcPr>
    </w:tblStylePr>
    <w:tblStylePr w:type="nwCell">
      <w:tcPr>
        <w:shd w:val="clear" w:color="000000" w:fill="FFFFFF" w:themeFill="background1"/>
      </w:tcPr>
    </w:tblStylePr>
    <w:tblStylePr w:type="swCell">
      <w:tcPr>
        <w:tcBorders>
          <w:top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100</Words>
  <Characters>0</Characters>
  <Lines>0</Lines>
  <Paragraphs>0</Paragraphs>
  <TotalTime>53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2018-04-26T03:33:00Z</dcterms:created>
  <dc:creator>Administrator</dc:creator>
  <cp:lastModifiedBy>qzuser</cp:lastModifiedBy>
  <dcterms:modified xsi:type="dcterms:W3CDTF">2018-05-14T01:50:20Z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